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_rels/document.xml.rels" ContentType="application/vnd.openxmlformats-package.relationships+xml"/>
  <Override PartName="/word/media/image1.png" ContentType="image/png"/>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cs="Calibri" w:cstheme="minorHAnsi"/>
          <w:b/>
          <w:b/>
        </w:rPr>
      </w:pPr>
      <w:r>
        <w:rPr>
          <w:rFonts w:cs="Calibri" w:cstheme="minorHAnsi"/>
          <w:b/>
        </w:rPr>
        <w:tab/>
        <w:tab/>
        <w:tab/>
        <w:t xml:space="preserve">   </w:t>
        <w:tab/>
        <w:tab/>
        <w:tab/>
        <w:tab/>
        <w:tab/>
        <w:tab/>
        <w:tab/>
        <w:tab/>
      </w:r>
    </w:p>
    <w:p>
      <w:pPr>
        <w:pStyle w:val="Normal"/>
        <w:pBdr>
          <w:bottom w:val="single" w:sz="4" w:space="1" w:color="000000"/>
        </w:pBdr>
        <w:rPr>
          <w:rFonts w:cs="Calibri" w:cstheme="minorHAnsi"/>
          <w:b/>
          <w:b/>
        </w:rPr>
      </w:pPr>
      <w:r>
        <w:rPr>
          <w:rFonts w:cs="Calibri" w:cstheme="minorHAnsi"/>
          <w:b/>
          <w:i/>
        </w:rPr>
        <w:t>Trauma-informed ministry for these times</w:t>
      </w:r>
      <w:r>
        <w:rPr>
          <w:rFonts w:cs="Calibri" w:cstheme="minorHAnsi"/>
          <w:b/>
        </w:rPr>
        <w:tab/>
        <w:tab/>
        <w:tab/>
        <w:tab/>
        <w:tab/>
        <w:tab/>
        <w:t>HANDOUT</w:t>
      </w:r>
    </w:p>
    <w:p>
      <w:pPr>
        <w:pStyle w:val="Normal"/>
        <w:rPr>
          <w:rFonts w:cs="Calibri" w:cstheme="minorHAnsi"/>
          <w:b/>
          <w:b/>
        </w:rPr>
      </w:pPr>
      <w:r>
        <w:rPr>
          <w:rFonts w:cs="Calibri" w:cstheme="minorHAnsi"/>
          <w:b/>
        </w:rPr>
      </w:r>
    </w:p>
    <w:p>
      <w:pPr>
        <w:pStyle w:val="Normal"/>
        <w:rPr>
          <w:rFonts w:cs="Calibri" w:cstheme="minorHAnsi"/>
          <w:b/>
          <w:b/>
        </w:rPr>
      </w:pPr>
      <w:r>
        <w:rPr>
          <w:rFonts w:cs="Calibri" w:cstheme="minorHAnsi"/>
          <w:b/>
        </w:rPr>
        <w:t>Session 2: Collective trauma</w:t>
      </w:r>
      <w:r>
        <w:rPr>
          <w:rFonts w:cs="Calibri" w:cstheme="minorHAnsi"/>
        </w:rPr>
        <w:tab/>
        <w:tab/>
        <w:tab/>
        <w:tab/>
        <w:t xml:space="preserve">   </w:t>
        <w:tab/>
        <w:t xml:space="preserve">    Revd Dr Carla A. Grosch-Miller</w:t>
      </w:r>
      <w:r>
        <w:rPr>
          <w:rFonts w:cs="Calibri" w:cstheme="minorHAnsi"/>
          <w:b/>
        </w:rPr>
        <w:tab/>
        <w:tab/>
      </w:r>
    </w:p>
    <w:p>
      <w:pPr>
        <w:pStyle w:val="Normal"/>
        <w:spacing w:before="0" w:after="120"/>
        <w:rPr>
          <w:rFonts w:cs="Calibri" w:cstheme="minorHAnsi"/>
        </w:rPr>
      </w:pPr>
      <w:r>
        <w:rPr>
          <w:rFonts w:cs="Calibri" w:cstheme="minorHAnsi"/>
        </w:rPr>
        <w:t>A group or community is traumatised when either significant individuals are traumatised or when the group’s way of relating and understanding of the world are damaged in a life-threatening way. A group also may be traumatised by the response of those responsible (e.g., the government) when it is inadequate and harms individuals or the group.</w:t>
      </w:r>
    </w:p>
    <w:p>
      <w:pPr>
        <w:pStyle w:val="Normal"/>
        <w:spacing w:before="0" w:after="120"/>
        <w:rPr>
          <w:rFonts w:cs="Calibri" w:cstheme="minorHAnsi"/>
        </w:rPr>
      </w:pPr>
      <w:r>
        <w:rPr>
          <w:rFonts w:cs="Calibri" w:cstheme="minorHAnsi"/>
        </w:rPr>
        <w:t>Elements of CT:</w:t>
      </w:r>
    </w:p>
    <w:p>
      <w:pPr>
        <w:pStyle w:val="ListParagraph"/>
        <w:numPr>
          <w:ilvl w:val="0"/>
          <w:numId w:val="1"/>
        </w:numPr>
        <w:spacing w:lineRule="auto" w:line="276"/>
        <w:rPr>
          <w:rFonts w:eastAsia="Times New Roman" w:cs="Calibri" w:cstheme="minorHAnsi"/>
          <w:color w:val="000000"/>
        </w:rPr>
      </w:pPr>
      <w:r>
        <w:rPr>
          <w:rFonts w:eastAsia="Times New Roman" w:cs="Calibri" w:cstheme="minorHAnsi"/>
          <w:color w:val="000000"/>
        </w:rPr>
        <w:t>Feelings of powerlessness and helplessness</w:t>
      </w:r>
    </w:p>
    <w:p>
      <w:pPr>
        <w:pStyle w:val="ListParagraph"/>
        <w:numPr>
          <w:ilvl w:val="0"/>
          <w:numId w:val="1"/>
        </w:numPr>
        <w:spacing w:lineRule="auto" w:line="276"/>
        <w:rPr>
          <w:rFonts w:eastAsia="Times New Roman" w:cs="Calibri" w:cstheme="minorHAnsi"/>
          <w:color w:val="000000"/>
        </w:rPr>
      </w:pPr>
      <w:r>
        <w:rPr>
          <w:rFonts w:eastAsia="Times New Roman" w:cs="Calibri" w:cstheme="minorHAnsi"/>
          <w:color w:val="000000"/>
        </w:rPr>
        <w:t>Acute disruption of daily existence</w:t>
      </w:r>
    </w:p>
    <w:p>
      <w:pPr>
        <w:pStyle w:val="ListParagraph"/>
        <w:numPr>
          <w:ilvl w:val="0"/>
          <w:numId w:val="1"/>
        </w:numPr>
        <w:spacing w:lineRule="auto" w:line="276"/>
        <w:rPr>
          <w:rFonts w:eastAsia="Times New Roman" w:cs="Calibri" w:cstheme="minorHAnsi"/>
          <w:color w:val="000000"/>
        </w:rPr>
      </w:pPr>
      <w:r>
        <w:rPr>
          <w:rFonts w:eastAsia="Times New Roman" w:cs="Calibri" w:cstheme="minorHAnsi"/>
          <w:color w:val="000000"/>
        </w:rPr>
        <w:t>Extreme discomfort</w:t>
      </w:r>
    </w:p>
    <w:p>
      <w:pPr>
        <w:pStyle w:val="ListParagraph"/>
        <w:numPr>
          <w:ilvl w:val="0"/>
          <w:numId w:val="1"/>
        </w:numPr>
        <w:spacing w:before="0" w:after="120"/>
        <w:ind w:left="714" w:hanging="357"/>
        <w:contextualSpacing/>
        <w:rPr>
          <w:rFonts w:eastAsia="Times New Roman" w:cs="Calibri" w:cstheme="minorHAnsi"/>
          <w:color w:val="000000"/>
        </w:rPr>
      </w:pPr>
      <w:r>
        <w:rPr>
          <w:rFonts w:eastAsia="Times New Roman" w:cs="Calibri" w:cstheme="minorHAnsi"/>
          <w:color w:val="000000"/>
        </w:rPr>
        <w:t>Shattering of assumptions</w:t>
      </w:r>
    </w:p>
    <w:p>
      <w:pPr>
        <w:pStyle w:val="Normal"/>
        <w:spacing w:lineRule="auto" w:line="276"/>
        <w:rPr>
          <w:rFonts w:eastAsia="Times New Roman" w:cs="Calibri" w:cstheme="minorHAnsi"/>
          <w:color w:val="000000"/>
        </w:rPr>
      </w:pPr>
      <w:r>
        <w:rPr>
          <w:rFonts w:eastAsia="Times New Roman" w:cs="Calibri" w:cstheme="minorHAnsi"/>
          <w:color w:val="000000"/>
        </w:rPr>
        <w:t>The same event will have a different impact on individuals depending on:</w:t>
      </w:r>
    </w:p>
    <w:p>
      <w:pPr>
        <w:pStyle w:val="ListParagraph"/>
        <w:numPr>
          <w:ilvl w:val="0"/>
          <w:numId w:val="1"/>
        </w:numPr>
        <w:spacing w:lineRule="auto" w:line="276"/>
        <w:rPr>
          <w:rFonts w:eastAsia="Times New Roman" w:cs="Calibri" w:cstheme="minorHAnsi"/>
          <w:color w:val="000000"/>
        </w:rPr>
      </w:pPr>
      <w:r>
        <w:rPr>
          <w:rFonts w:eastAsia="Times New Roman" w:cs="Calibri" w:cstheme="minorHAnsi"/>
          <w:color w:val="000000"/>
        </w:rPr>
        <w:t>state of nervous system (unique life and genetic history)</w:t>
      </w:r>
    </w:p>
    <w:p>
      <w:pPr>
        <w:pStyle w:val="ListParagraph"/>
        <w:numPr>
          <w:ilvl w:val="0"/>
          <w:numId w:val="1"/>
        </w:numPr>
        <w:spacing w:lineRule="auto" w:line="276"/>
        <w:rPr>
          <w:rFonts w:eastAsia="Times New Roman" w:cs="Calibri" w:cstheme="minorHAnsi"/>
          <w:color w:val="000000"/>
        </w:rPr>
      </w:pPr>
      <w:r>
        <w:rPr>
          <w:rFonts w:eastAsia="Times New Roman" w:cs="Calibri" w:cstheme="minorHAnsi"/>
          <w:color w:val="000000"/>
        </w:rPr>
        <w:t>reverberations with previous traumatic experience</w:t>
      </w:r>
    </w:p>
    <w:p>
      <w:pPr>
        <w:pStyle w:val="ListParagraph"/>
        <w:numPr>
          <w:ilvl w:val="0"/>
          <w:numId w:val="1"/>
        </w:numPr>
        <w:spacing w:lineRule="auto" w:line="276"/>
        <w:rPr>
          <w:rFonts w:eastAsia="Times New Roman" w:cs="Calibri" w:cstheme="minorHAnsi"/>
          <w:color w:val="000000"/>
        </w:rPr>
      </w:pPr>
      <w:r>
        <w:rPr>
          <w:rFonts w:eastAsia="Times New Roman" w:cs="Calibri" w:cstheme="minorHAnsi"/>
          <w:color w:val="000000"/>
        </w:rPr>
        <w:t>resources available</w:t>
      </w:r>
    </w:p>
    <w:p>
      <w:pPr>
        <w:pStyle w:val="ListParagraph"/>
        <w:numPr>
          <w:ilvl w:val="0"/>
          <w:numId w:val="1"/>
        </w:numPr>
        <w:spacing w:lineRule="auto" w:line="276"/>
        <w:rPr>
          <w:rFonts w:eastAsia="Times New Roman" w:cs="Calibri" w:cstheme="minorHAnsi"/>
          <w:color w:val="000000"/>
        </w:rPr>
      </w:pPr>
      <w:r>
        <w:drawing>
          <wp:anchor behindDoc="0" distT="0" distB="0" distL="114300" distR="114300" simplePos="0" locked="0" layoutInCell="1" allowOverlap="1" relativeHeight="2">
            <wp:simplePos x="0" y="0"/>
            <wp:positionH relativeFrom="margin">
              <wp:align>center</wp:align>
            </wp:positionH>
            <wp:positionV relativeFrom="paragraph">
              <wp:posOffset>344805</wp:posOffset>
            </wp:positionV>
            <wp:extent cx="6364605" cy="4658360"/>
            <wp:effectExtent l="0" t="0" r="0" b="0"/>
            <wp:wrapTopAndBottom/>
            <wp:docPr id="1" name="Picture 1" descr="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Picture"/>
                    <pic:cNvPicPr>
                      <a:picLocks noChangeAspect="1" noChangeArrowheads="1"/>
                    </pic:cNvPicPr>
                  </pic:nvPicPr>
                  <pic:blipFill>
                    <a:blip r:embed="rId2"/>
                    <a:stretch>
                      <a:fillRect/>
                    </a:stretch>
                  </pic:blipFill>
                  <pic:spPr bwMode="auto">
                    <a:xfrm>
                      <a:off x="0" y="0"/>
                      <a:ext cx="6364605" cy="4658360"/>
                    </a:xfrm>
                    <a:prstGeom prst="rect">
                      <a:avLst/>
                    </a:prstGeom>
                  </pic:spPr>
                </pic:pic>
              </a:graphicData>
            </a:graphic>
          </wp:anchor>
        </w:drawing>
      </w:r>
      <w:r>
        <w:rPr>
          <w:rFonts w:eastAsia="Times New Roman" w:cs="Calibri" w:cstheme="minorHAnsi"/>
          <w:color w:val="000000"/>
        </w:rPr>
        <w:t>t</w:t>
      </w:r>
      <w:r>
        <w:rPr>
          <w:rFonts w:eastAsia="Times New Roman" w:cs="Calibri" w:cstheme="minorHAnsi"/>
          <w:color w:val="000000"/>
        </w:rPr>
        <w:t>he meaning of the event</w:t>
      </w:r>
    </w:p>
    <w:p>
      <w:pPr>
        <w:pStyle w:val="ListParagraph"/>
        <w:spacing w:lineRule="auto" w:line="276"/>
        <w:rPr>
          <w:rFonts w:eastAsia="Times New Roman" w:cs="Calibri" w:cstheme="minorHAnsi"/>
          <w:color w:val="000000"/>
        </w:rPr>
      </w:pPr>
      <w:r>
        <w:rPr>
          <w:rFonts w:eastAsia="Times New Roman" w:cs="Calibri" w:cstheme="minorHAnsi"/>
          <w:color w:val="000000"/>
        </w:rPr>
      </w:r>
    </w:p>
    <w:p>
      <w:pPr>
        <w:pStyle w:val="Normal"/>
        <w:spacing w:lineRule="auto" w:line="276"/>
        <w:jc w:val="center"/>
        <w:rPr>
          <w:rFonts w:cs="Calibri" w:cstheme="minorHAnsi"/>
        </w:rPr>
      </w:pPr>
      <w:r>
        <w:rPr>
          <w:rFonts w:cs="Calibri" w:cstheme="minorHAnsi"/>
        </w:rPr>
        <w:t>Journey of recovery:  2-5 years or more for a single event</w:t>
      </w:r>
    </w:p>
    <w:p>
      <w:pPr>
        <w:pStyle w:val="Normal"/>
        <w:spacing w:lineRule="auto" w:line="276" w:before="0" w:after="120"/>
        <w:jc w:val="center"/>
        <w:rPr>
          <w:rFonts w:cs="Calibri" w:cstheme="minorHAnsi"/>
        </w:rPr>
      </w:pPr>
      <w:r>
        <w:rPr>
          <w:rFonts w:cs="Calibri" w:cstheme="minorHAnsi"/>
        </w:rPr>
        <w:t xml:space="preserve">The British Academy - </w:t>
      </w:r>
      <w:r>
        <w:rPr>
          <w:rFonts w:cs="Calibri" w:cstheme="minorHAnsi"/>
          <w:i/>
          <w:iCs/>
        </w:rPr>
        <w:t>The Covid Decade: Understanding the long-term societal impacts</w:t>
      </w:r>
    </w:p>
    <w:p>
      <w:pPr>
        <w:pStyle w:val="Normal"/>
        <w:spacing w:before="0" w:after="120"/>
        <w:rPr>
          <w:rFonts w:cs="Calibri" w:cstheme="minorHAnsi"/>
          <w:color w:val="0563C1" w:themeColor="hyperlink"/>
          <w:u w:val="single"/>
        </w:rPr>
      </w:pPr>
      <w:r>
        <w:rPr>
          <w:rFonts w:cs="Calibri" w:cstheme="minorHAnsi"/>
        </w:rPr>
        <w:t xml:space="preserve">This chart is heuristic – to start a conversation – not prescriptive. Each traumatising event is unique to itself. For more information on the chart, see </w:t>
      </w:r>
      <w:hyperlink r:id="rId3">
        <w:r>
          <w:rPr>
            <w:rStyle w:val="InternetLink"/>
            <w:rFonts w:cs="Calibri" w:cstheme="minorHAnsi"/>
          </w:rPr>
          <w:t>https://www.ictg.org/phases-of-disaster-response.html</w:t>
        </w:r>
      </w:hyperlink>
    </w:p>
    <w:p>
      <w:pPr>
        <w:pStyle w:val="Normal"/>
        <w:spacing w:before="0" w:after="120"/>
        <w:rPr>
          <w:rFonts w:cs="Calibri" w:cstheme="minorHAnsi"/>
          <w:color w:val="0563C1" w:themeColor="hyperlink"/>
          <w:u w:val="single"/>
        </w:rPr>
      </w:pPr>
      <w:r>
        <w:rPr/>
        <w:t>Heroic:</w:t>
      </w:r>
    </w:p>
    <w:p>
      <w:pPr>
        <w:pStyle w:val="Normal"/>
        <w:rPr/>
      </w:pPr>
      <w:r>
        <w:rPr/>
      </w:r>
    </w:p>
    <w:p>
      <w:pPr>
        <w:pStyle w:val="Normal"/>
        <w:rPr/>
      </w:pPr>
      <w:r>
        <w:rPr/>
        <w:t>Disillusionment:</w:t>
      </w:r>
    </w:p>
    <w:p>
      <w:pPr>
        <w:pStyle w:val="Normal"/>
        <w:rPr/>
      </w:pPr>
      <w:r>
        <w:rPr/>
      </w:r>
    </w:p>
    <w:p>
      <w:pPr>
        <w:pStyle w:val="Normal"/>
        <w:rPr/>
      </w:pPr>
      <w:r>
        <w:rPr/>
        <w:t>Rebuilding and restoration:</w:t>
      </w:r>
    </w:p>
    <w:p>
      <w:pPr>
        <w:pStyle w:val="Normal"/>
        <w:rPr/>
      </w:pPr>
      <w:r>
        <w:rPr/>
      </w:r>
    </w:p>
    <w:p>
      <w:pPr>
        <w:pStyle w:val="Normal"/>
        <w:rPr/>
      </w:pPr>
      <w:r>
        <w:rPr/>
        <w:t>Wiser living:</w:t>
      </w:r>
    </w:p>
    <w:p>
      <w:pPr>
        <w:pStyle w:val="Normal"/>
        <w:rPr>
          <w:b/>
          <w:b/>
        </w:rPr>
      </w:pPr>
      <w:r>
        <w:rPr>
          <w:b/>
        </w:rPr>
      </w:r>
    </w:p>
    <w:p>
      <w:pPr>
        <w:pStyle w:val="Normal"/>
        <w:spacing w:lineRule="auto" w:line="276"/>
        <w:rPr>
          <w:rFonts w:eastAsia="Times New Roman" w:cs="Calibri" w:cstheme="minorHAnsi"/>
          <w:b/>
          <w:b/>
          <w:color w:val="000000"/>
        </w:rPr>
      </w:pPr>
      <w:r>
        <w:rPr>
          <w:rFonts w:eastAsia="Times New Roman" w:cs="Calibri" w:cstheme="minorHAnsi"/>
          <w:b/>
          <w:color w:val="000000"/>
        </w:rPr>
        <w:t>Leadership, care and comfort in these times</w:t>
      </w:r>
    </w:p>
    <w:p>
      <w:pPr>
        <w:pStyle w:val="Normal"/>
        <w:spacing w:lineRule="auto" w:line="276"/>
        <w:rPr>
          <w:rFonts w:eastAsia="Times New Roman" w:cs="Calibri" w:cstheme="minorHAnsi"/>
          <w:i/>
          <w:i/>
          <w:color w:val="000000"/>
        </w:rPr>
      </w:pPr>
      <w:r>
        <w:rPr>
          <w:rFonts w:eastAsia="Times New Roman" w:cs="Calibri" w:cstheme="minorHAnsi"/>
          <w:i/>
          <w:color w:val="000000"/>
        </w:rPr>
        <w:t>Where we are now – disillusionment, exhaustion, turning towards recovery</w:t>
      </w:r>
    </w:p>
    <w:p>
      <w:pPr>
        <w:pStyle w:val="Normal"/>
        <w:rPr/>
      </w:pPr>
      <w:r>
        <w:rPr>
          <w:u w:val="single"/>
        </w:rPr>
        <w:t>Disillusionment Phase characteristics</w:t>
      </w:r>
      <w:r>
        <w:rPr/>
        <w:t>: exhaustion, low energy, great variability and unpredictability of mood/emotions; depression; fragmentation; conflict</w:t>
      </w:r>
    </w:p>
    <w:p>
      <w:pPr>
        <w:pStyle w:val="Normal"/>
        <w:spacing w:lineRule="auto" w:line="276"/>
        <w:rPr>
          <w:i/>
          <w:i/>
          <w:iCs/>
        </w:rPr>
      </w:pPr>
      <w:r>
        <w:rPr>
          <w:i/>
          <w:iCs/>
        </w:rPr>
      </w:r>
    </w:p>
    <w:p>
      <w:pPr>
        <w:pStyle w:val="Normal"/>
        <w:spacing w:lineRule="auto" w:line="276"/>
        <w:rPr>
          <w:i/>
          <w:i/>
          <w:iCs/>
        </w:rPr>
      </w:pPr>
      <w:r>
        <w:rPr>
          <w:i/>
          <w:iCs/>
        </w:rPr>
        <w:t xml:space="preserve">What’s happening: </w:t>
      </w:r>
    </w:p>
    <w:p>
      <w:pPr>
        <w:pStyle w:val="ListParagraph"/>
        <w:numPr>
          <w:ilvl w:val="0"/>
          <w:numId w:val="6"/>
        </w:numPr>
        <w:spacing w:lineRule="auto" w:line="276"/>
        <w:rPr>
          <w:rFonts w:eastAsia="Times New Roman" w:cs="Calibri" w:cstheme="minorHAnsi"/>
          <w:color w:val="000000"/>
        </w:rPr>
      </w:pPr>
      <w:r>
        <w:rPr>
          <w:rFonts w:eastAsia="Times New Roman" w:cs="Calibri" w:cstheme="minorHAnsi"/>
          <w:color w:val="000000"/>
        </w:rPr>
        <w:t>Rest and recovery after the shock of the pandemic</w:t>
      </w:r>
    </w:p>
    <w:p>
      <w:pPr>
        <w:pStyle w:val="ListParagraph"/>
        <w:numPr>
          <w:ilvl w:val="0"/>
          <w:numId w:val="2"/>
        </w:numPr>
        <w:spacing w:lineRule="auto" w:line="276"/>
        <w:rPr>
          <w:rFonts w:eastAsia="Times New Roman" w:cs="Calibri" w:cstheme="minorHAnsi"/>
          <w:color w:val="000000"/>
        </w:rPr>
      </w:pPr>
      <w:r>
        <w:rPr>
          <w:rFonts w:eastAsia="Times New Roman" w:cs="Calibri" w:cstheme="minorHAnsi"/>
          <w:color w:val="000000"/>
        </w:rPr>
        <w:t>A settling into the facts of what happened/is happening and its impacts</w:t>
      </w:r>
    </w:p>
    <w:p>
      <w:pPr>
        <w:pStyle w:val="ListParagraph"/>
        <w:numPr>
          <w:ilvl w:val="1"/>
          <w:numId w:val="2"/>
        </w:numPr>
        <w:spacing w:lineRule="auto" w:line="276"/>
        <w:rPr>
          <w:rFonts w:eastAsia="Times New Roman" w:cs="Calibri" w:cstheme="minorHAnsi"/>
          <w:color w:val="000000"/>
        </w:rPr>
      </w:pPr>
      <w:r>
        <w:rPr>
          <w:rFonts w:eastAsia="Times New Roman" w:cs="Calibri" w:cstheme="minorHAnsi"/>
          <w:color w:val="000000"/>
        </w:rPr>
        <w:t>Naming and grieving losses</w:t>
      </w:r>
    </w:p>
    <w:p>
      <w:pPr>
        <w:pStyle w:val="ListParagraph"/>
        <w:numPr>
          <w:ilvl w:val="0"/>
          <w:numId w:val="2"/>
        </w:numPr>
        <w:spacing w:lineRule="auto" w:line="276"/>
        <w:rPr>
          <w:rFonts w:eastAsia="Times New Roman" w:cs="Calibri" w:cstheme="minorHAnsi"/>
          <w:color w:val="000000"/>
        </w:rPr>
      </w:pPr>
      <w:r>
        <w:rPr>
          <w:rFonts w:eastAsia="Times New Roman" w:cs="Calibri" w:cstheme="minorHAnsi"/>
          <w:color w:val="000000"/>
        </w:rPr>
        <w:t>Survival and adaptation</w:t>
      </w:r>
    </w:p>
    <w:p>
      <w:pPr>
        <w:pStyle w:val="ListParagraph"/>
        <w:numPr>
          <w:ilvl w:val="1"/>
          <w:numId w:val="2"/>
        </w:numPr>
        <w:spacing w:lineRule="auto" w:line="276"/>
        <w:rPr>
          <w:rFonts w:eastAsia="Times New Roman" w:cs="Calibri" w:cstheme="minorHAnsi"/>
          <w:color w:val="000000"/>
        </w:rPr>
      </w:pPr>
      <w:r>
        <w:rPr>
          <w:rFonts w:eastAsia="Times New Roman" w:cs="Calibri" w:cstheme="minorHAnsi"/>
          <w:color w:val="000000"/>
        </w:rPr>
        <w:t>Sparks of new possibilities and initiatives</w:t>
      </w:r>
    </w:p>
    <w:p>
      <w:pPr>
        <w:pStyle w:val="ListParagraph"/>
        <w:numPr>
          <w:ilvl w:val="0"/>
          <w:numId w:val="2"/>
        </w:numPr>
        <w:spacing w:lineRule="auto" w:line="276"/>
        <w:rPr>
          <w:rFonts w:eastAsia="Times New Roman" w:cs="Calibri" w:cstheme="minorHAnsi"/>
          <w:color w:val="000000"/>
        </w:rPr>
      </w:pPr>
      <w:r>
        <w:rPr>
          <w:rFonts w:eastAsia="Times New Roman" w:cs="Calibri" w:cstheme="minorHAnsi"/>
          <w:color w:val="000000"/>
        </w:rPr>
        <w:t>Looking for ground firm enough to stand on; holding opposite ideas in our heads</w:t>
      </w:r>
    </w:p>
    <w:p>
      <w:pPr>
        <w:pStyle w:val="ListParagraph"/>
        <w:numPr>
          <w:ilvl w:val="0"/>
          <w:numId w:val="2"/>
        </w:numPr>
        <w:spacing w:lineRule="auto" w:line="276"/>
        <w:rPr>
          <w:rFonts w:eastAsia="Times New Roman" w:cs="Calibri" w:cstheme="minorHAnsi"/>
          <w:color w:val="000000"/>
        </w:rPr>
      </w:pPr>
      <w:r>
        <w:rPr>
          <w:rFonts w:eastAsia="Times New Roman" w:cs="Calibri" w:cstheme="minorHAnsi"/>
          <w:color w:val="000000"/>
        </w:rPr>
        <w:t>Cultivating resilience and coping with chronic stress/risk of burnout</w:t>
      </w:r>
    </w:p>
    <w:p>
      <w:pPr>
        <w:pStyle w:val="ListParagraph"/>
        <w:numPr>
          <w:ilvl w:val="1"/>
          <w:numId w:val="2"/>
        </w:numPr>
        <w:spacing w:lineRule="auto" w:line="276"/>
        <w:rPr>
          <w:rFonts w:eastAsia="Times New Roman" w:cs="Calibri" w:cstheme="minorHAnsi"/>
          <w:color w:val="000000"/>
        </w:rPr>
      </w:pPr>
      <w:r>
        <w:rPr>
          <w:rFonts w:eastAsia="Times New Roman" w:cs="Calibri" w:cstheme="minorHAnsi"/>
          <w:color w:val="000000"/>
        </w:rPr>
        <w:t>Increase inputs (exercise, relaxation, connection, support) and/or</w:t>
      </w:r>
    </w:p>
    <w:p>
      <w:pPr>
        <w:pStyle w:val="ListParagraph"/>
        <w:numPr>
          <w:ilvl w:val="1"/>
          <w:numId w:val="2"/>
        </w:numPr>
        <w:spacing w:lineRule="auto" w:line="276"/>
        <w:rPr>
          <w:rFonts w:eastAsia="Times New Roman" w:cs="Calibri" w:cstheme="minorHAnsi"/>
          <w:color w:val="000000"/>
        </w:rPr>
      </w:pPr>
      <w:r>
        <w:rPr>
          <w:rFonts w:eastAsia="Times New Roman" w:cs="Calibri" w:cstheme="minorHAnsi"/>
          <w:color w:val="000000"/>
        </w:rPr>
        <w:t>Reduce stressors</w:t>
      </w:r>
    </w:p>
    <w:p>
      <w:pPr>
        <w:pStyle w:val="ListParagraph"/>
        <w:numPr>
          <w:ilvl w:val="0"/>
          <w:numId w:val="2"/>
        </w:numPr>
        <w:spacing w:lineRule="auto" w:line="276"/>
        <w:rPr>
          <w:rFonts w:eastAsia="Times New Roman" w:cs="Calibri" w:cstheme="minorHAnsi"/>
          <w:color w:val="000000"/>
        </w:rPr>
      </w:pPr>
      <w:r>
        <w:rPr>
          <w:rFonts w:eastAsia="Times New Roman" w:cs="Calibri" w:cstheme="minorHAnsi"/>
          <w:color w:val="000000"/>
        </w:rPr>
        <w:t xml:space="preserve">A turn towards hope </w:t>
      </w:r>
    </w:p>
    <w:p>
      <w:pPr>
        <w:pStyle w:val="ListParagraph"/>
        <w:numPr>
          <w:ilvl w:val="0"/>
          <w:numId w:val="2"/>
        </w:numPr>
        <w:spacing w:lineRule="auto" w:line="276"/>
        <w:rPr>
          <w:rFonts w:eastAsia="Times New Roman" w:cs="Calibri" w:cstheme="minorHAnsi"/>
          <w:color w:val="000000"/>
        </w:rPr>
      </w:pPr>
      <w:r>
        <w:rPr>
          <w:rFonts w:eastAsia="Times New Roman" w:cs="Calibri" w:cstheme="minorHAnsi"/>
          <w:color w:val="000000"/>
        </w:rPr>
        <w:t>Revelation of other disturbing realities (e.g., 400 yr old pandemic of racism)</w:t>
      </w:r>
    </w:p>
    <w:p>
      <w:pPr>
        <w:pStyle w:val="ListParagraph"/>
        <w:numPr>
          <w:ilvl w:val="0"/>
          <w:numId w:val="2"/>
        </w:numPr>
        <w:spacing w:lineRule="auto" w:line="276"/>
        <w:rPr>
          <w:rFonts w:eastAsia="Times New Roman" w:cs="Calibri" w:cstheme="minorHAnsi"/>
          <w:color w:val="000000"/>
        </w:rPr>
      </w:pPr>
      <w:r>
        <w:rPr>
          <w:rFonts w:eastAsia="Times New Roman" w:cs="Calibri" w:cstheme="minorHAnsi"/>
          <w:color w:val="000000"/>
        </w:rPr>
        <w:t>Triggering of vulnerabilities (underlying anxiety disorders; racial discrimination; LGBT – HIV/AIDS; domestic violence -so more safeguarding issues)</w:t>
      </w:r>
    </w:p>
    <w:p>
      <w:pPr>
        <w:pStyle w:val="Normal"/>
        <w:rPr/>
      </w:pPr>
      <w:r>
        <w:rPr/>
      </w:r>
    </w:p>
    <w:p>
      <w:pPr>
        <w:pStyle w:val="Normal"/>
        <w:jc w:val="center"/>
        <w:rPr>
          <w:b/>
          <w:b/>
          <w:bCs/>
          <w:i/>
          <w:i/>
          <w:iCs/>
        </w:rPr>
      </w:pPr>
      <w:r>
        <w:rPr>
          <w:b/>
          <w:bCs/>
          <w:i/>
          <w:iCs/>
        </w:rPr>
        <w:t>You can’t force the move from disillusionment to rebuilding and restoration.</w:t>
      </w:r>
    </w:p>
    <w:p>
      <w:pPr>
        <w:pStyle w:val="Normal"/>
        <w:jc w:val="center"/>
        <w:rPr>
          <w:b/>
          <w:b/>
          <w:bCs/>
          <w:i/>
          <w:i/>
          <w:iCs/>
        </w:rPr>
      </w:pPr>
      <w:r>
        <w:rPr>
          <w:b/>
          <w:bCs/>
          <w:i/>
          <w:iCs/>
        </w:rPr>
        <w:t xml:space="preserve"> </w:t>
      </w:r>
      <w:r>
        <w:rPr>
          <w:b/>
          <w:bCs/>
          <w:i/>
          <w:iCs/>
        </w:rPr>
        <w:t>Enough people need to feel safe enough and to have made peace with the reality that</w:t>
      </w:r>
    </w:p>
    <w:p>
      <w:pPr>
        <w:pStyle w:val="Normal"/>
        <w:jc w:val="center"/>
        <w:rPr>
          <w:b/>
          <w:b/>
          <w:bCs/>
          <w:i/>
          <w:i/>
          <w:iCs/>
        </w:rPr>
      </w:pPr>
      <w:r>
        <w:rPr>
          <w:b/>
          <w:bCs/>
          <w:i/>
          <w:iCs/>
        </w:rPr>
        <w:t xml:space="preserve"> </w:t>
      </w:r>
      <w:r>
        <w:rPr>
          <w:b/>
          <w:bCs/>
          <w:i/>
          <w:iCs/>
        </w:rPr>
        <w:t>the pandemic is what it is.</w:t>
      </w:r>
    </w:p>
    <w:p>
      <w:pPr>
        <w:pStyle w:val="Normal"/>
        <w:rPr>
          <w:u w:val="single"/>
        </w:rPr>
      </w:pPr>
      <w:r>
        <w:rPr>
          <w:u w:val="single"/>
        </w:rPr>
      </w:r>
    </w:p>
    <w:p>
      <w:pPr>
        <w:pStyle w:val="Normal"/>
        <w:rPr>
          <w:u w:val="single"/>
        </w:rPr>
      </w:pPr>
      <w:r>
        <w:rPr>
          <w:u w:val="single"/>
        </w:rPr>
      </w:r>
    </w:p>
    <w:p>
      <w:pPr>
        <w:pStyle w:val="Normal"/>
        <w:rPr/>
      </w:pPr>
      <w:r>
        <w:rPr>
          <w:u w:val="single"/>
        </w:rPr>
        <w:t>Rebuilding and restoration/Reimagination:</w:t>
      </w:r>
      <w:r>
        <w:rPr/>
        <w:t xml:space="preserve"> shift to general positive direction with more energy and ability to engage new initiatives; still grieving losses; triggers and anniversaries (two steps forward, three steps back).</w:t>
      </w:r>
    </w:p>
    <w:p>
      <w:pPr>
        <w:pStyle w:val="Normal"/>
        <w:rPr/>
      </w:pPr>
      <w:r>
        <w:rPr/>
        <w:tab/>
      </w:r>
    </w:p>
    <w:p>
      <w:pPr>
        <w:pStyle w:val="Normal"/>
        <w:rPr>
          <w:i/>
          <w:i/>
          <w:iCs/>
        </w:rPr>
      </w:pPr>
      <w:r>
        <w:rPr/>
        <w:t xml:space="preserve"> </w:t>
      </w:r>
    </w:p>
    <w:p>
      <w:pPr>
        <w:pStyle w:val="Normal"/>
        <w:rPr>
          <w:i/>
          <w:i/>
          <w:iCs/>
        </w:rPr>
      </w:pPr>
      <w:r>
        <w:rPr/>
        <w:t xml:space="preserve"> </w:t>
      </w:r>
      <w:r>
        <w:rPr>
          <w:i/>
          <w:iCs/>
        </w:rPr>
        <w:t>Tasks:</w:t>
      </w:r>
    </w:p>
    <w:p>
      <w:pPr>
        <w:pStyle w:val="ListParagraph"/>
        <w:numPr>
          <w:ilvl w:val="0"/>
          <w:numId w:val="5"/>
        </w:numPr>
        <w:rPr/>
      </w:pPr>
      <w:r>
        <w:rPr/>
        <w:t xml:space="preserve">Enabling agency (countering the powerlessness of traumatic experience; </w:t>
      </w:r>
      <w:r>
        <w:rPr>
          <w:i/>
          <w:iCs/>
        </w:rPr>
        <w:t>the survivor is the expert</w:t>
      </w:r>
      <w:r>
        <w:rPr/>
        <w:t xml:space="preserve">) </w:t>
      </w:r>
    </w:p>
    <w:p>
      <w:pPr>
        <w:pStyle w:val="ListParagraph"/>
        <w:numPr>
          <w:ilvl w:val="0"/>
          <w:numId w:val="5"/>
        </w:numPr>
        <w:rPr/>
      </w:pPr>
      <w:r>
        <w:rPr/>
        <w:t>Enabling collective responses appropriate to local context/conditions</w:t>
      </w:r>
    </w:p>
    <w:p>
      <w:pPr>
        <w:pStyle w:val="ListParagraph"/>
        <w:numPr>
          <w:ilvl w:val="1"/>
          <w:numId w:val="5"/>
        </w:numPr>
        <w:rPr>
          <w:rFonts w:eastAsia="Times New Roman" w:cs="Calibri" w:cstheme="minorHAnsi"/>
          <w:color w:val="000000"/>
        </w:rPr>
      </w:pPr>
      <w:r>
        <w:rPr>
          <w:rFonts w:eastAsia="Times New Roman" w:cs="Calibri" w:cstheme="minorHAnsi"/>
          <w:i/>
          <w:iCs/>
          <w:color w:val="000000"/>
        </w:rPr>
        <w:t>Collective trauma recovery requires collective responses</w:t>
      </w:r>
      <w:r>
        <w:rPr>
          <w:rFonts w:eastAsia="Times New Roman" w:cs="Calibri" w:cstheme="minorHAnsi"/>
          <w:color w:val="000000"/>
        </w:rPr>
        <w:t>.</w:t>
      </w:r>
    </w:p>
    <w:p>
      <w:pPr>
        <w:pStyle w:val="ListParagraph"/>
        <w:numPr>
          <w:ilvl w:val="0"/>
          <w:numId w:val="5"/>
        </w:numPr>
        <w:rPr/>
      </w:pPr>
      <w:r>
        <w:rPr/>
        <w:t xml:space="preserve">Resourcing the organic reframing of what happened to integrate the fact of the pandemic into the story of our life together and in God. </w:t>
      </w:r>
    </w:p>
    <w:p>
      <w:pPr>
        <w:pStyle w:val="ListParagraph"/>
        <w:numPr>
          <w:ilvl w:val="0"/>
          <w:numId w:val="5"/>
        </w:numPr>
        <w:rPr/>
      </w:pPr>
      <w:r>
        <w:rPr/>
        <w:t xml:space="preserve">Reimagining the church: </w:t>
      </w:r>
    </w:p>
    <w:p>
      <w:pPr>
        <w:pStyle w:val="ListParagraph"/>
        <w:numPr>
          <w:ilvl w:val="1"/>
          <w:numId w:val="5"/>
        </w:numPr>
        <w:rPr/>
      </w:pPr>
      <w:r>
        <w:rPr/>
        <w:t>Focus on being real and resourcing discernment of call and purpose</w:t>
      </w:r>
    </w:p>
    <w:p>
      <w:pPr>
        <w:pStyle w:val="ListParagraph"/>
        <w:numPr>
          <w:ilvl w:val="1"/>
          <w:numId w:val="5"/>
        </w:numPr>
        <w:rPr/>
      </w:pPr>
      <w:r>
        <w:rPr/>
        <w:t>Acknowledging vulnerability (not knowing)</w:t>
      </w:r>
    </w:p>
    <w:p>
      <w:pPr>
        <w:pStyle w:val="ListParagraph"/>
        <w:numPr>
          <w:ilvl w:val="1"/>
          <w:numId w:val="5"/>
        </w:numPr>
        <w:rPr/>
      </w:pPr>
      <w:r>
        <w:rPr/>
        <w:t>Managing anxiety</w:t>
      </w:r>
    </w:p>
    <w:p>
      <w:pPr>
        <w:pStyle w:val="Normal"/>
        <w:rPr/>
      </w:pPr>
      <w:r>
        <w:rPr/>
      </w:r>
    </w:p>
    <w:p>
      <w:pPr>
        <w:pStyle w:val="Normal"/>
        <w:rPr>
          <w:rFonts w:eastAsia="Times New Roman" w:cs="Calibri" w:cstheme="minorHAnsi"/>
          <w:color w:val="000000"/>
        </w:rPr>
      </w:pPr>
      <w:r>
        <w:rPr>
          <w:rFonts w:eastAsia="Times New Roman" w:cs="Calibri" w:cstheme="minorHAnsi"/>
          <w:color w:val="000000"/>
        </w:rPr>
      </w:r>
    </w:p>
    <w:p>
      <w:pPr>
        <w:pStyle w:val="Normal"/>
        <w:rPr>
          <w:rFonts w:eastAsia="Times New Roman" w:cs="Calibri" w:cstheme="minorHAnsi"/>
          <w:color w:val="000000"/>
        </w:rPr>
      </w:pPr>
      <w:r>
        <w:rPr>
          <w:rFonts w:eastAsia="Times New Roman" w:cs="Calibri" w:cstheme="minorHAnsi"/>
          <w:color w:val="000000"/>
        </w:rPr>
        <w:t>Walter Brueggemann (</w:t>
      </w:r>
      <w:r>
        <w:rPr>
          <w:rFonts w:eastAsia="Times New Roman" w:cs="Calibri" w:cstheme="minorHAnsi"/>
          <w:i/>
          <w:color w:val="000000"/>
        </w:rPr>
        <w:t xml:space="preserve">Reality, Grief, Hope: Three urgent prophetic tasks, </w:t>
      </w:r>
      <w:r>
        <w:rPr>
          <w:rFonts w:eastAsia="Times New Roman" w:cs="Calibri" w:cstheme="minorHAnsi"/>
          <w:color w:val="000000"/>
        </w:rPr>
        <w:t>2014):</w:t>
      </w:r>
    </w:p>
    <w:p>
      <w:pPr>
        <w:pStyle w:val="Normal"/>
        <w:rPr>
          <w:rFonts w:eastAsia="Times New Roman" w:cs="Calibri" w:cstheme="minorHAnsi"/>
          <w:color w:val="000000"/>
        </w:rPr>
      </w:pPr>
      <w:r>
        <w:rPr>
          <w:rFonts w:eastAsia="Times New Roman" w:cs="Calibri" w:cstheme="minorHAnsi"/>
          <w:color w:val="000000"/>
        </w:rPr>
        <w:t xml:space="preserve">Three prophetic tasks in a cataclysm: face reality, grieve the losses, nurture hope (God will not give up on us).  </w:t>
        <w:tab/>
        <w:tab/>
        <w:tab/>
      </w:r>
      <w:r>
        <w:rPr>
          <w:rFonts w:eastAsia="Times New Roman" w:cs="Calibri" w:cstheme="minorHAnsi"/>
          <w:b/>
          <w:color w:val="000000"/>
        </w:rPr>
        <w:t xml:space="preserve">Courage, Compassion and Creativity </w:t>
      </w:r>
      <w:r>
        <w:rPr>
          <w:rFonts w:eastAsia="Times New Roman" w:cs="Calibri" w:cstheme="minorHAnsi"/>
          <w:color w:val="000000"/>
        </w:rPr>
        <w:t>(MLK, Jr.)</w:t>
      </w:r>
    </w:p>
    <w:p>
      <w:pPr>
        <w:pStyle w:val="Normal"/>
        <w:rPr>
          <w:rFonts w:eastAsia="Times New Roman" w:cs="Calibri" w:cstheme="minorHAnsi"/>
          <w:b/>
          <w:b/>
          <w:i/>
          <w:i/>
          <w:iCs/>
          <w:color w:val="000000"/>
        </w:rPr>
      </w:pPr>
      <w:r>
        <w:rPr>
          <w:rFonts w:eastAsia="Times New Roman" w:cs="Calibri" w:cstheme="minorHAnsi"/>
          <w:b/>
          <w:i/>
          <w:iCs/>
          <w:color w:val="000000"/>
        </w:rPr>
      </w:r>
    </w:p>
    <w:p>
      <w:pPr>
        <w:pStyle w:val="Normal"/>
        <w:rPr>
          <w:rFonts w:eastAsia="Times New Roman" w:cs="Calibri" w:cstheme="minorHAnsi"/>
          <w:b/>
          <w:b/>
          <w:i/>
          <w:i/>
          <w:iCs/>
          <w:color w:val="000000"/>
        </w:rPr>
      </w:pPr>
      <w:r>
        <w:rPr>
          <w:rFonts w:eastAsia="Times New Roman" w:cs="Calibri" w:cstheme="minorHAnsi"/>
          <w:b/>
          <w:i/>
          <w:iCs/>
          <w:color w:val="000000"/>
        </w:rPr>
      </w:r>
    </w:p>
    <w:p>
      <w:pPr>
        <w:pStyle w:val="Normal"/>
        <w:rPr>
          <w:rFonts w:eastAsia="Times New Roman" w:cs="Calibri" w:cstheme="minorHAnsi"/>
          <w:bCs/>
          <w:color w:val="000000"/>
        </w:rPr>
      </w:pPr>
      <w:r>
        <w:rPr>
          <w:rFonts w:eastAsia="Times New Roman" w:cs="Calibri" w:cstheme="minorHAnsi"/>
          <w:b/>
          <w:i/>
          <w:iCs/>
          <w:color w:val="000000"/>
        </w:rPr>
        <w:t>Congregational challenges</w:t>
      </w:r>
    </w:p>
    <w:p>
      <w:pPr>
        <w:pStyle w:val="ListParagraph"/>
        <w:numPr>
          <w:ilvl w:val="0"/>
          <w:numId w:val="10"/>
        </w:numPr>
        <w:rPr>
          <w:rFonts w:eastAsia="Times New Roman" w:cs="Calibri" w:cstheme="minorHAnsi"/>
          <w:bCs/>
          <w:color w:val="000000"/>
        </w:rPr>
      </w:pPr>
      <w:r>
        <w:rPr>
          <w:rFonts w:eastAsia="Times New Roman" w:cs="Calibri" w:cstheme="minorHAnsi"/>
          <w:bCs/>
          <w:color w:val="000000"/>
        </w:rPr>
        <w:t>The power of fear and anxiety - decreased capacity; stuckness</w:t>
      </w:r>
    </w:p>
    <w:p>
      <w:pPr>
        <w:pStyle w:val="ListParagraph"/>
        <w:numPr>
          <w:ilvl w:val="0"/>
          <w:numId w:val="10"/>
        </w:numPr>
        <w:rPr>
          <w:rFonts w:eastAsia="Times New Roman" w:cs="Calibri" w:cstheme="minorHAnsi"/>
          <w:bCs/>
          <w:color w:val="000000"/>
        </w:rPr>
      </w:pPr>
      <w:r>
        <w:rPr>
          <w:rFonts w:eastAsia="Times New Roman" w:cs="Calibri" w:cstheme="minorHAnsi"/>
          <w:bCs/>
          <w:color w:val="000000"/>
        </w:rPr>
        <w:t>What is safety? (physical; emotional; social)</w:t>
      </w:r>
    </w:p>
    <w:p>
      <w:pPr>
        <w:pStyle w:val="ListParagraph"/>
        <w:numPr>
          <w:ilvl w:val="0"/>
          <w:numId w:val="10"/>
        </w:numPr>
        <w:rPr>
          <w:rFonts w:eastAsia="Times New Roman" w:cs="Calibri" w:cstheme="minorHAnsi"/>
          <w:bCs/>
          <w:color w:val="000000"/>
        </w:rPr>
      </w:pPr>
      <w:r>
        <w:rPr>
          <w:rFonts w:eastAsia="Times New Roman" w:cs="Calibri" w:cstheme="minorHAnsi"/>
          <w:bCs/>
          <w:color w:val="000000"/>
        </w:rPr>
        <w:t>Cultural barriers to grief or ‘negativity’ (e.g., stiff upper lip)</w:t>
      </w:r>
    </w:p>
    <w:p>
      <w:pPr>
        <w:pStyle w:val="ListParagraph"/>
        <w:numPr>
          <w:ilvl w:val="0"/>
          <w:numId w:val="10"/>
        </w:numPr>
        <w:rPr>
          <w:rFonts w:eastAsia="Times New Roman" w:cs="Calibri" w:cstheme="minorHAnsi"/>
          <w:bCs/>
          <w:color w:val="000000"/>
        </w:rPr>
      </w:pPr>
      <w:r>
        <w:rPr>
          <w:rFonts w:eastAsia="Times New Roman" w:cs="Calibri" w:cstheme="minorHAnsi"/>
          <w:bCs/>
          <w:color w:val="000000"/>
        </w:rPr>
        <w:t>The desire to return to normal and to avoid the discomfort of more challenge</w:t>
      </w:r>
    </w:p>
    <w:p>
      <w:pPr>
        <w:pStyle w:val="Normal"/>
        <w:spacing w:lineRule="auto" w:line="276"/>
        <w:rPr>
          <w:rFonts w:eastAsia="Times New Roman" w:cs="Calibri" w:cstheme="minorHAnsi"/>
          <w:b/>
          <w:b/>
          <w:color w:val="000000"/>
        </w:rPr>
      </w:pPr>
      <w:r>
        <w:rPr>
          <w:rFonts w:eastAsia="Times New Roman" w:cs="Calibri" w:cstheme="minorHAnsi"/>
          <w:b/>
          <w:color w:val="000000"/>
        </w:rPr>
      </w:r>
    </w:p>
    <w:p>
      <w:pPr>
        <w:pStyle w:val="Normal"/>
        <w:spacing w:before="0" w:after="120"/>
        <w:rPr>
          <w:b/>
          <w:b/>
          <w:bCs/>
          <w:i/>
          <w:i/>
          <w:iCs/>
        </w:rPr>
      </w:pPr>
      <w:r>
        <w:rPr>
          <w:b/>
          <w:bCs/>
          <w:i/>
          <w:iCs/>
        </w:rPr>
      </w:r>
    </w:p>
    <w:p>
      <w:pPr>
        <w:pStyle w:val="Normal"/>
        <w:spacing w:before="0" w:after="120"/>
        <w:rPr>
          <w:b/>
          <w:b/>
          <w:bCs/>
          <w:i/>
          <w:i/>
          <w:iCs/>
        </w:rPr>
      </w:pPr>
      <w:r>
        <w:rPr>
          <w:b/>
          <w:bCs/>
          <w:i/>
          <w:iCs/>
        </w:rPr>
        <w:t>Helpful leadership qualities and strategies to abet movement through the phases and towards emergence</w:t>
      </w:r>
    </w:p>
    <w:p>
      <w:pPr>
        <w:pStyle w:val="Normal"/>
        <w:rPr>
          <w:rFonts w:eastAsia="Times New Roman" w:cs="Calibri" w:cstheme="minorHAnsi"/>
          <w:color w:val="000000"/>
        </w:rPr>
      </w:pPr>
      <w:r>
        <w:rPr>
          <w:rFonts w:eastAsia="Times New Roman" w:cs="Calibri" w:cstheme="minorHAnsi"/>
          <w:i/>
          <w:iCs/>
          <w:color w:val="000000"/>
        </w:rPr>
        <w:t xml:space="preserve">Presence: </w:t>
      </w:r>
      <w:r>
        <w:rPr>
          <w:rFonts w:eastAsia="Times New Roman" w:cs="Calibri" w:cstheme="minorHAnsi"/>
          <w:color w:val="000000"/>
        </w:rPr>
        <w:t>The power of calm</w:t>
      </w:r>
    </w:p>
    <w:p>
      <w:pPr>
        <w:pStyle w:val="ListParagraph"/>
        <w:numPr>
          <w:ilvl w:val="0"/>
          <w:numId w:val="7"/>
        </w:numPr>
        <w:rPr>
          <w:rFonts w:eastAsia="Times New Roman" w:cs="Calibri" w:cstheme="minorHAnsi"/>
          <w:color w:val="000000"/>
        </w:rPr>
      </w:pPr>
      <w:r>
        <w:rPr>
          <w:rFonts w:eastAsia="Times New Roman" w:cs="Calibri" w:cstheme="minorHAnsi"/>
          <w:color w:val="000000"/>
        </w:rPr>
        <w:t>Self-care: connecting to one’s resources; self-awareness, -acceptance, -compassion and -regulation</w:t>
      </w:r>
    </w:p>
    <w:p>
      <w:pPr>
        <w:pStyle w:val="ListParagraph"/>
        <w:numPr>
          <w:ilvl w:val="0"/>
          <w:numId w:val="7"/>
        </w:numPr>
        <w:rPr>
          <w:rFonts w:eastAsia="Times New Roman" w:cs="Calibri" w:cstheme="minorHAnsi"/>
          <w:b/>
          <w:b/>
          <w:color w:val="000000"/>
        </w:rPr>
      </w:pPr>
      <w:r>
        <w:rPr>
          <w:rFonts w:eastAsia="Times New Roman" w:cs="Calibri" w:cstheme="minorHAnsi"/>
          <w:color w:val="000000"/>
        </w:rPr>
        <w:t xml:space="preserve">Lean in towards difficulties, being </w:t>
      </w:r>
      <w:r>
        <w:rPr>
          <w:rFonts w:eastAsia="Times New Roman" w:cs="Calibri" w:cstheme="minorHAnsi"/>
          <w:b/>
          <w:color w:val="000000"/>
        </w:rPr>
        <w:t>Calm, Curious and Connected</w:t>
      </w:r>
    </w:p>
    <w:p>
      <w:pPr>
        <w:pStyle w:val="ListParagraph"/>
        <w:numPr>
          <w:ilvl w:val="0"/>
          <w:numId w:val="7"/>
        </w:numPr>
        <w:rPr>
          <w:rFonts w:eastAsia="Times New Roman" w:cs="Calibri" w:cstheme="minorHAnsi"/>
          <w:b/>
          <w:b/>
          <w:color w:val="000000"/>
        </w:rPr>
      </w:pPr>
      <w:r>
        <w:rPr>
          <w:rFonts w:eastAsia="Times New Roman" w:cs="Calibri" w:cstheme="minorHAnsi"/>
          <w:color w:val="000000"/>
        </w:rPr>
        <w:t>Capacity to hold negative emotions without reactivity</w:t>
      </w:r>
    </w:p>
    <w:p>
      <w:pPr>
        <w:pStyle w:val="Normal"/>
        <w:ind w:firstLine="720"/>
        <w:rPr>
          <w:rFonts w:eastAsia="Times New Roman" w:cs="Calibri" w:cstheme="minorHAnsi"/>
          <w:i/>
          <w:i/>
          <w:color w:val="000000"/>
        </w:rPr>
      </w:pPr>
      <w:r>
        <w:rPr>
          <w:rFonts w:eastAsia="Times New Roman" w:cs="Calibri" w:cstheme="minorHAnsi"/>
          <w:i/>
          <w:color w:val="000000"/>
        </w:rPr>
      </w:r>
    </w:p>
    <w:p>
      <w:pPr>
        <w:pStyle w:val="Normal"/>
        <w:rPr>
          <w:rFonts w:eastAsia="Times New Roman" w:cs="Calibri" w:cstheme="minorHAnsi"/>
          <w:color w:val="000000"/>
        </w:rPr>
      </w:pPr>
      <w:r>
        <w:rPr>
          <w:rFonts w:eastAsia="Times New Roman" w:cs="Calibri" w:cstheme="minorHAnsi"/>
          <w:i/>
          <w:color w:val="000000"/>
        </w:rPr>
        <w:t xml:space="preserve">Three C’s of pastoral strategies in aftermath of trauma – </w:t>
      </w:r>
      <w:r>
        <w:rPr>
          <w:rFonts w:eastAsia="Times New Roman" w:cs="Calibri" w:cstheme="minorHAnsi"/>
          <w:color w:val="000000"/>
        </w:rPr>
        <w:tab/>
        <w:tab/>
        <w:tab/>
        <w:tab/>
      </w:r>
    </w:p>
    <w:p>
      <w:pPr>
        <w:pStyle w:val="Normal"/>
        <w:rPr>
          <w:rFonts w:eastAsia="Times New Roman" w:cs="Calibri" w:cstheme="minorHAnsi"/>
          <w:b/>
          <w:b/>
          <w:color w:val="000000"/>
        </w:rPr>
      </w:pPr>
      <w:r>
        <w:rPr>
          <w:rFonts w:eastAsia="Times New Roman" w:cs="Calibri" w:cstheme="minorHAnsi"/>
          <w:color w:val="000000"/>
        </w:rPr>
        <w:tab/>
        <w:tab/>
      </w:r>
      <w:r>
        <w:rPr>
          <w:rFonts w:eastAsia="Times New Roman" w:cs="Calibri" w:cstheme="minorHAnsi"/>
          <w:b/>
          <w:color w:val="000000"/>
        </w:rPr>
        <w:t>Calm, Communication, Care</w:t>
      </w:r>
    </w:p>
    <w:p>
      <w:pPr>
        <w:pStyle w:val="Normal"/>
        <w:rPr>
          <w:rFonts w:eastAsia="Times New Roman" w:cs="Calibri" w:cstheme="minorHAnsi"/>
          <w:color w:val="000000"/>
        </w:rPr>
      </w:pPr>
      <w:r>
        <w:rPr>
          <w:rFonts w:eastAsia="Times New Roman" w:cs="Calibri" w:cstheme="minorHAnsi"/>
          <w:color w:val="000000"/>
        </w:rPr>
      </w:r>
    </w:p>
    <w:p>
      <w:pPr>
        <w:pStyle w:val="Normal"/>
        <w:rPr>
          <w:rFonts w:eastAsia="Times New Roman" w:cs="Calibri" w:cstheme="minorHAnsi"/>
          <w:color w:val="000000"/>
        </w:rPr>
      </w:pPr>
      <w:r>
        <w:rPr>
          <w:rFonts w:eastAsia="Times New Roman" w:cs="Calibri" w:cstheme="minorHAnsi"/>
          <w:color w:val="000000"/>
        </w:rPr>
        <w:t>Accompaniment with resonant care: warmth plus precision</w:t>
      </w:r>
    </w:p>
    <w:p>
      <w:pPr>
        <w:pStyle w:val="ListParagraph"/>
        <w:numPr>
          <w:ilvl w:val="0"/>
          <w:numId w:val="9"/>
        </w:numPr>
        <w:rPr>
          <w:rFonts w:eastAsia="Times New Roman" w:cs="Calibri" w:cstheme="minorHAnsi"/>
          <w:color w:val="000000"/>
        </w:rPr>
      </w:pPr>
      <w:r>
        <w:rPr>
          <w:rFonts w:eastAsia="Times New Roman" w:cs="Calibri" w:cstheme="minorHAnsi"/>
          <w:i/>
          <w:iCs/>
          <w:color w:val="000000"/>
        </w:rPr>
        <w:t>The survivor is the expert</w:t>
      </w:r>
    </w:p>
    <w:p>
      <w:pPr>
        <w:pStyle w:val="ListParagraph"/>
        <w:numPr>
          <w:ilvl w:val="0"/>
          <w:numId w:val="8"/>
        </w:numPr>
        <w:rPr>
          <w:rFonts w:eastAsia="Times New Roman" w:cs="Calibri" w:cstheme="minorHAnsi"/>
          <w:color w:val="000000"/>
        </w:rPr>
      </w:pPr>
      <w:r>
        <w:rPr>
          <w:rFonts w:eastAsia="Times New Roman" w:cs="Calibri" w:cstheme="minorHAnsi"/>
          <w:color w:val="000000"/>
        </w:rPr>
        <w:t>The power of naming and normalisation</w:t>
      </w:r>
    </w:p>
    <w:p>
      <w:pPr>
        <w:pStyle w:val="ListParagraph"/>
        <w:numPr>
          <w:ilvl w:val="0"/>
          <w:numId w:val="8"/>
        </w:numPr>
        <w:rPr>
          <w:rFonts w:eastAsia="Times New Roman" w:cs="Calibri" w:cstheme="minorHAnsi"/>
          <w:color w:val="000000"/>
        </w:rPr>
      </w:pPr>
      <w:r>
        <w:rPr>
          <w:rFonts w:eastAsia="Times New Roman" w:cs="Calibri" w:cstheme="minorHAnsi"/>
          <w:color w:val="000000"/>
        </w:rPr>
        <w:t>Connect person to their natural support networks</w:t>
      </w:r>
    </w:p>
    <w:p>
      <w:pPr>
        <w:pStyle w:val="ListParagraph"/>
        <w:numPr>
          <w:ilvl w:val="0"/>
          <w:numId w:val="8"/>
        </w:numPr>
        <w:rPr>
          <w:rFonts w:eastAsia="Times New Roman" w:cs="Calibri" w:cstheme="minorHAnsi"/>
          <w:color w:val="000000"/>
        </w:rPr>
      </w:pPr>
      <w:r>
        <w:rPr>
          <w:rFonts w:eastAsia="Times New Roman" w:cs="Calibri" w:cstheme="minorHAnsi"/>
          <w:color w:val="000000"/>
        </w:rPr>
        <w:t>Keeping your own fix-it/over-functionning energy in check</w:t>
      </w:r>
    </w:p>
    <w:p>
      <w:pPr>
        <w:pStyle w:val="Normal"/>
        <w:rPr>
          <w:rFonts w:eastAsia="Times New Roman" w:cs="Calibri" w:cstheme="minorHAnsi"/>
          <w:color w:val="000000"/>
        </w:rPr>
      </w:pPr>
      <w:r>
        <w:rPr>
          <w:rFonts w:eastAsia="Times New Roman" w:cs="Calibri" w:cstheme="minorHAnsi"/>
          <w:color w:val="000000"/>
        </w:rPr>
      </w:r>
    </w:p>
    <w:p>
      <w:pPr>
        <w:pStyle w:val="Normal"/>
        <w:rPr>
          <w:rFonts w:eastAsia="Times New Roman" w:cs="Calibri" w:cstheme="minorHAnsi"/>
          <w:color w:val="000000"/>
        </w:rPr>
      </w:pPr>
      <w:r>
        <w:rPr>
          <w:rFonts w:eastAsia="Times New Roman" w:cs="Calibri" w:cstheme="minorHAnsi"/>
          <w:color w:val="000000"/>
        </w:rPr>
        <w:t>Affirm survival and adaptation.                         Celebrate the good.</w:t>
      </w:r>
    </w:p>
    <w:p>
      <w:pPr>
        <w:pStyle w:val="Normal"/>
        <w:rPr>
          <w:rFonts w:eastAsia="Times New Roman" w:cs="Calibri" w:cstheme="minorHAnsi"/>
          <w:color w:val="000000"/>
        </w:rPr>
      </w:pPr>
      <w:r>
        <w:rPr>
          <w:rFonts w:eastAsia="Times New Roman" w:cs="Calibri" w:cstheme="minorHAnsi"/>
          <w:color w:val="000000"/>
        </w:rPr>
        <w:t>Enabling maturity – acceptance of human vulnerability and variability; self-responsibility. Differences are normal. We slow down, breathe and listen to one another to move forward together.</w:t>
        <w:tab/>
      </w:r>
    </w:p>
    <w:p>
      <w:pPr>
        <w:pStyle w:val="Normal"/>
        <w:rPr>
          <w:rFonts w:eastAsia="Times New Roman" w:cs="Calibri" w:cstheme="minorHAnsi"/>
          <w:color w:val="000000"/>
        </w:rPr>
      </w:pPr>
      <w:r>
        <w:rPr>
          <w:rFonts w:eastAsia="Times New Roman" w:cs="Calibri" w:cstheme="minorHAnsi"/>
          <w:color w:val="000000"/>
        </w:rPr>
      </w:r>
    </w:p>
    <w:p>
      <w:pPr>
        <w:pStyle w:val="Normal"/>
        <w:rPr>
          <w:rFonts w:eastAsia="Times New Roman" w:cs="Calibri" w:cstheme="minorHAnsi"/>
          <w:color w:val="000000"/>
        </w:rPr>
      </w:pPr>
      <w:r>
        <w:rPr>
          <w:rFonts w:eastAsia="Times New Roman" w:cs="Calibri" w:cstheme="minorHAnsi"/>
          <w:color w:val="000000"/>
        </w:rPr>
        <w:t>Connecting people to each other and to their personal and faith resources</w:t>
      </w:r>
    </w:p>
    <w:p>
      <w:pPr>
        <w:pStyle w:val="Normal"/>
        <w:spacing w:lineRule="auto" w:line="276"/>
        <w:rPr>
          <w:rFonts w:eastAsia="Times New Roman" w:cs="Calibri" w:cstheme="minorHAnsi"/>
          <w:b/>
          <w:b/>
          <w:color w:val="000000"/>
        </w:rPr>
      </w:pPr>
      <w:r>
        <w:rPr>
          <w:rFonts w:eastAsia="Times New Roman" w:cs="Calibri" w:cstheme="minorHAnsi"/>
          <w:b/>
          <w:color w:val="000000"/>
        </w:rPr>
      </w:r>
    </w:p>
    <w:p>
      <w:pPr>
        <w:pStyle w:val="Normal"/>
        <w:rPr>
          <w:rFonts w:eastAsia="Times New Roman" w:cs="Calibri" w:cstheme="minorHAnsi"/>
          <w:bCs/>
          <w:color w:val="000000"/>
        </w:rPr>
      </w:pPr>
      <w:r>
        <w:rPr>
          <w:rFonts w:eastAsia="Times New Roman" w:cs="Calibri" w:cstheme="minorHAnsi"/>
          <w:b/>
          <w:i/>
          <w:iCs/>
          <w:color w:val="000000"/>
        </w:rPr>
        <w:t>The Bible</w:t>
      </w:r>
      <w:r>
        <w:rPr>
          <w:rFonts w:eastAsia="Times New Roman" w:cs="Calibri" w:cstheme="minorHAnsi"/>
          <w:b/>
          <w:color w:val="000000"/>
        </w:rPr>
        <w:t xml:space="preserve"> </w:t>
      </w:r>
      <w:r>
        <w:rPr>
          <w:rFonts w:eastAsia="Times New Roman" w:cs="Calibri" w:cstheme="minorHAnsi"/>
          <w:bCs/>
          <w:color w:val="000000"/>
        </w:rPr>
        <w:t>as survival literature: robust, resilient, providing a language of suffering.</w:t>
      </w:r>
    </w:p>
    <w:p>
      <w:pPr>
        <w:pStyle w:val="Normal"/>
        <w:spacing w:lineRule="auto" w:line="276"/>
        <w:rPr>
          <w:rFonts w:eastAsia="Times New Roman" w:cs="Calibri" w:cstheme="minorHAnsi"/>
          <w:b/>
          <w:b/>
          <w:color w:val="000000"/>
        </w:rPr>
      </w:pPr>
      <w:r>
        <w:rPr>
          <w:rFonts w:eastAsia="Times New Roman" w:cs="Calibri" w:cstheme="minorHAnsi"/>
          <w:b/>
          <w:color w:val="000000"/>
        </w:rPr>
      </w:r>
    </w:p>
    <w:p>
      <w:pPr>
        <w:pStyle w:val="Normal"/>
        <w:spacing w:lineRule="auto" w:line="276"/>
        <w:rPr>
          <w:rFonts w:eastAsia="Times New Roman" w:cs="Calibri" w:cstheme="minorHAnsi"/>
          <w:b/>
          <w:b/>
          <w:color w:val="000000"/>
        </w:rPr>
      </w:pPr>
      <w:r>
        <w:rPr>
          <w:rFonts w:eastAsia="Times New Roman" w:cs="Calibri" w:cstheme="minorHAnsi"/>
          <w:b/>
          <w:color w:val="000000"/>
        </w:rPr>
        <w:t>The resource of lamentation</w:t>
      </w:r>
    </w:p>
    <w:p>
      <w:pPr>
        <w:pStyle w:val="Normal"/>
        <w:spacing w:lineRule="auto" w:line="276"/>
        <w:rPr>
          <w:rFonts w:eastAsia="Times New Roman" w:cs="Calibri" w:cstheme="minorHAnsi"/>
          <w:i/>
          <w:i/>
          <w:iCs/>
          <w:color w:val="000000"/>
        </w:rPr>
      </w:pPr>
      <w:r>
        <w:rPr>
          <w:rFonts w:eastAsia="Times New Roman" w:cs="Calibri" w:cstheme="minorHAnsi"/>
          <w:color w:val="000000"/>
        </w:rPr>
        <w:t xml:space="preserve">The common elements of a psalm of lament are these:                  </w:t>
      </w:r>
      <w:r>
        <w:rPr>
          <w:rFonts w:eastAsia="Times New Roman" w:cs="Calibri" w:cstheme="minorHAnsi"/>
          <w:i/>
          <w:iCs/>
          <w:color w:val="000000"/>
        </w:rPr>
        <w:t>See, e.g., Psalm 13</w:t>
      </w:r>
    </w:p>
    <w:p>
      <w:pPr>
        <w:pStyle w:val="ListParagraph"/>
        <w:numPr>
          <w:ilvl w:val="0"/>
          <w:numId w:val="3"/>
        </w:numPr>
        <w:spacing w:lineRule="auto" w:line="276"/>
        <w:rPr>
          <w:rFonts w:eastAsia="Times New Roman" w:cs="Calibri" w:cstheme="minorHAnsi"/>
          <w:color w:val="000000"/>
        </w:rPr>
      </w:pPr>
      <w:r>
        <w:rPr>
          <w:rFonts w:eastAsia="Times New Roman" w:cs="Calibri" w:cstheme="minorHAnsi"/>
          <w:color w:val="000000"/>
        </w:rPr>
        <w:t>Address to God</w:t>
      </w:r>
    </w:p>
    <w:p>
      <w:pPr>
        <w:pStyle w:val="ListParagraph"/>
        <w:numPr>
          <w:ilvl w:val="0"/>
          <w:numId w:val="3"/>
        </w:numPr>
        <w:spacing w:lineRule="auto" w:line="276"/>
        <w:rPr>
          <w:rFonts w:eastAsia="Times New Roman" w:cs="Calibri" w:cstheme="minorHAnsi"/>
          <w:color w:val="000000"/>
        </w:rPr>
      </w:pPr>
      <w:r>
        <w:rPr>
          <w:rFonts w:eastAsia="Times New Roman" w:cs="Calibri" w:cstheme="minorHAnsi"/>
          <w:color w:val="000000"/>
        </w:rPr>
        <w:t>Complaint, including blaming God for what has happened or for doing nothing.</w:t>
      </w:r>
    </w:p>
    <w:p>
      <w:pPr>
        <w:pStyle w:val="ListParagraph"/>
        <w:numPr>
          <w:ilvl w:val="0"/>
          <w:numId w:val="3"/>
        </w:numPr>
        <w:spacing w:lineRule="auto" w:line="276"/>
        <w:rPr>
          <w:rFonts w:eastAsia="Times New Roman" w:cs="Calibri" w:cstheme="minorHAnsi"/>
          <w:color w:val="000000"/>
        </w:rPr>
      </w:pPr>
      <w:r>
        <w:rPr>
          <w:rFonts w:eastAsia="Times New Roman" w:cs="Calibri" w:cstheme="minorHAnsi"/>
          <w:color w:val="000000"/>
        </w:rPr>
        <w:t xml:space="preserve">Expression of trust or relationship </w:t>
      </w:r>
    </w:p>
    <w:p>
      <w:pPr>
        <w:pStyle w:val="ListParagraph"/>
        <w:numPr>
          <w:ilvl w:val="0"/>
          <w:numId w:val="3"/>
        </w:numPr>
        <w:spacing w:lineRule="auto" w:line="276"/>
        <w:rPr>
          <w:rFonts w:eastAsia="Times New Roman" w:cs="Calibri" w:cstheme="minorHAnsi"/>
          <w:color w:val="000000"/>
        </w:rPr>
      </w:pPr>
      <w:r>
        <w:rPr>
          <w:rFonts w:eastAsia="Times New Roman" w:cs="Calibri" w:cstheme="minorHAnsi"/>
          <w:color w:val="000000"/>
        </w:rPr>
        <w:t>Direct appeal to God.</w:t>
      </w:r>
    </w:p>
    <w:p>
      <w:pPr>
        <w:pStyle w:val="ListParagraph"/>
        <w:numPr>
          <w:ilvl w:val="0"/>
          <w:numId w:val="3"/>
        </w:numPr>
        <w:spacing w:lineRule="auto" w:line="276"/>
        <w:rPr>
          <w:rFonts w:eastAsia="Times New Roman" w:cs="Calibri" w:cstheme="minorHAnsi"/>
          <w:color w:val="000000"/>
        </w:rPr>
      </w:pPr>
      <w:r>
        <w:rPr>
          <w:rFonts w:eastAsia="Times New Roman" w:cs="Calibri" w:cstheme="minorHAnsi"/>
          <w:color w:val="000000"/>
        </w:rPr>
        <w:t>Vow of praise (usually)</w:t>
      </w:r>
    </w:p>
    <w:p>
      <w:pPr>
        <w:pStyle w:val="Body"/>
        <w:rPr>
          <w:rFonts w:eastAsia="Times New Roman" w:cs="Calibri" w:cstheme="minorHAnsi"/>
          <w:b/>
          <w:b/>
        </w:rPr>
      </w:pPr>
      <w:r>
        <w:rPr>
          <w:rFonts w:eastAsia="Times New Roman" w:cs="Calibri" w:cstheme="minorHAnsi"/>
          <w:b/>
        </w:rPr>
      </w:r>
    </w:p>
    <w:p>
      <w:pPr>
        <w:pStyle w:val="Body"/>
        <w:rPr>
          <w:rFonts w:eastAsia="Times New Roman" w:cs="Calibri" w:cstheme="minorHAnsi"/>
          <w:b/>
          <w:b/>
        </w:rPr>
      </w:pPr>
      <w:r>
        <w:rPr>
          <w:rFonts w:eastAsia="Times New Roman" w:cs="Calibri" w:cstheme="minorHAnsi"/>
          <w:b/>
        </w:rPr>
        <w:t>Lament exercise</w:t>
        <w:tab/>
        <w:tab/>
        <w:tab/>
        <w:tab/>
        <w:tab/>
        <w:tab/>
        <w:tab/>
        <w:tab/>
        <w:tab/>
      </w:r>
    </w:p>
    <w:p>
      <w:pPr>
        <w:pStyle w:val="Body"/>
        <w:rPr>
          <w:rFonts w:ascii="Calibri" w:hAnsi="Calibri" w:cs="Calibri" w:asciiTheme="minorHAnsi" w:cstheme="minorHAnsi" w:hAnsiTheme="minorHAnsi"/>
          <w:color w:val="auto"/>
        </w:rPr>
      </w:pPr>
      <w:r>
        <w:rPr>
          <w:rFonts w:cs="Calibri" w:cstheme="minorHAnsi"/>
          <w:color w:val="auto"/>
        </w:rPr>
        <w:t>Write a lamentation based on a tragedy with which you are familiar and which has stirred an emotional response in you. Here is a template, adapted from the structure provided by John Swinton (</w:t>
      </w:r>
      <w:r>
        <w:rPr>
          <w:rFonts w:cs="Calibri" w:cstheme="minorHAnsi"/>
          <w:i/>
          <w:color w:val="auto"/>
        </w:rPr>
        <w:t>Raging with Compassion</w:t>
      </w:r>
      <w:r>
        <w:rPr>
          <w:rFonts w:cs="Calibri" w:cstheme="minorHAnsi"/>
          <w:color w:val="auto"/>
        </w:rPr>
        <w:t>, 127-128) to help you:</w:t>
      </w:r>
    </w:p>
    <w:p>
      <w:pPr>
        <w:pStyle w:val="Body"/>
        <w:rPr>
          <w:rFonts w:ascii="Calibri" w:hAnsi="Calibri" w:cs="Calibri" w:asciiTheme="minorHAnsi" w:cstheme="minorHAnsi" w:hAnsiTheme="minorHAnsi"/>
          <w:color w:val="auto"/>
        </w:rPr>
      </w:pPr>
      <w:r>
        <w:rPr>
          <w:rFonts w:cs="Calibri" w:cstheme="minorHAnsi"/>
          <w:color w:val="auto"/>
        </w:rPr>
      </w:r>
    </w:p>
    <w:p>
      <w:pPr>
        <w:pStyle w:val="Body"/>
        <w:numPr>
          <w:ilvl w:val="0"/>
          <w:numId w:val="4"/>
        </w:numPr>
        <w:rPr>
          <w:rFonts w:ascii="Calibri" w:hAnsi="Calibri" w:cs="Calibri" w:asciiTheme="minorHAnsi" w:cstheme="minorHAnsi" w:hAnsiTheme="minorHAnsi"/>
          <w:color w:val="auto"/>
        </w:rPr>
      </w:pPr>
      <w:r>
        <w:rPr>
          <w:rFonts w:cs="Calibri" w:cstheme="minorHAnsi"/>
          <w:color w:val="auto"/>
        </w:rPr>
        <w:t xml:space="preserve"> </w:t>
      </w:r>
      <w:r>
        <w:rPr>
          <w:rFonts w:cs="Calibri" w:cstheme="minorHAnsi"/>
          <w:color w:val="auto"/>
        </w:rPr>
        <w:t>Address God –using any names or titles that speak to you or express qualities of God that you want to call upon. You can use many names.</w:t>
      </w:r>
    </w:p>
    <w:p>
      <w:pPr>
        <w:pStyle w:val="Body"/>
        <w:numPr>
          <w:ilvl w:val="0"/>
          <w:numId w:val="4"/>
        </w:numPr>
        <w:rPr>
          <w:rFonts w:ascii="Calibri" w:hAnsi="Calibri" w:cs="Calibri" w:asciiTheme="minorHAnsi" w:cstheme="minorHAnsi" w:hAnsiTheme="minorHAnsi"/>
          <w:color w:val="auto"/>
        </w:rPr>
      </w:pPr>
      <w:r>
        <w:rPr>
          <w:rFonts w:cs="Calibri" w:cstheme="minorHAnsi"/>
          <w:color w:val="auto"/>
        </w:rPr>
        <w:t>Make your complaints – be detailed. (Consider how detailed the Book of Lamentations is.) What has happened? Who is hurting and why? Whose fault, if anyone’s, is it? Give God the full blast of your anger, hurt and fear.</w:t>
      </w:r>
    </w:p>
    <w:p>
      <w:pPr>
        <w:pStyle w:val="Body"/>
        <w:numPr>
          <w:ilvl w:val="0"/>
          <w:numId w:val="4"/>
        </w:numPr>
        <w:rPr>
          <w:rFonts w:ascii="Calibri" w:hAnsi="Calibri" w:cs="Calibri" w:asciiTheme="minorHAnsi" w:cstheme="minorHAnsi" w:hAnsiTheme="minorHAnsi"/>
          <w:color w:val="auto"/>
        </w:rPr>
      </w:pPr>
      <w:r>
        <w:rPr>
          <w:rFonts w:cs="Calibri" w:cstheme="minorHAnsi"/>
          <w:color w:val="auto"/>
        </w:rPr>
        <w:t>Express trust in or relationship with God. This can be one sentence. See, e.g., Lamentations 3:24 ‘</w:t>
      </w:r>
      <w:r>
        <w:rPr>
          <w:rFonts w:cs="Calibri" w:cstheme="minorHAnsi"/>
          <w:i/>
          <w:color w:val="auto"/>
        </w:rPr>
        <w:t>The Lord is my portion,’ says my soul, ‘therefore I will hope in God.’</w:t>
      </w:r>
    </w:p>
    <w:p>
      <w:pPr>
        <w:pStyle w:val="Body"/>
        <w:numPr>
          <w:ilvl w:val="0"/>
          <w:numId w:val="4"/>
        </w:numPr>
        <w:rPr>
          <w:rFonts w:ascii="Calibri" w:hAnsi="Calibri" w:cs="Calibri" w:asciiTheme="minorHAnsi" w:cstheme="minorHAnsi" w:hAnsiTheme="minorHAnsi"/>
          <w:color w:val="auto"/>
        </w:rPr>
      </w:pPr>
      <w:r>
        <w:rPr>
          <w:rFonts w:cs="Calibri" w:cstheme="minorHAnsi"/>
          <w:color w:val="auto"/>
        </w:rPr>
        <w:t>Make an appeal or petitions…a request for God’s intervention and why it is needed.</w:t>
      </w:r>
    </w:p>
    <w:p>
      <w:pPr>
        <w:pStyle w:val="Body"/>
        <w:numPr>
          <w:ilvl w:val="0"/>
          <w:numId w:val="4"/>
        </w:numPr>
        <w:rPr>
          <w:rFonts w:ascii="Calibri" w:hAnsi="Calibri" w:cs="Calibri" w:asciiTheme="minorHAnsi" w:cstheme="minorHAnsi" w:hAnsiTheme="minorHAnsi"/>
          <w:color w:val="auto"/>
        </w:rPr>
      </w:pPr>
      <w:r>
        <w:rPr>
          <w:rFonts w:cs="Calibri" w:cstheme="minorHAnsi"/>
          <w:color w:val="auto"/>
        </w:rPr>
        <w:t>Vow your praise (</w:t>
      </w:r>
      <w:r>
        <w:rPr>
          <w:rFonts w:cs="Calibri" w:cstheme="minorHAnsi"/>
          <w:i/>
          <w:color w:val="auto"/>
        </w:rPr>
        <w:t xml:space="preserve">if </w:t>
      </w:r>
      <w:r>
        <w:rPr>
          <w:rFonts w:cs="Calibri" w:cstheme="minorHAnsi"/>
          <w:color w:val="auto"/>
        </w:rPr>
        <w:t xml:space="preserve">you are ready). Terrible things have happened, </w:t>
      </w:r>
      <w:r>
        <w:rPr>
          <w:rFonts w:cs="Calibri" w:cstheme="minorHAnsi"/>
          <w:i/>
          <w:color w:val="auto"/>
        </w:rPr>
        <w:t xml:space="preserve">and yet </w:t>
      </w:r>
      <w:r>
        <w:rPr>
          <w:rFonts w:cs="Calibri" w:cstheme="minorHAnsi"/>
          <w:color w:val="auto"/>
        </w:rPr>
        <w:t>I will praise You. This is optional because a lamentation is an honest articulation and you may not be ready yet to praise. (See, e.g., Ps 88.)</w:t>
      </w:r>
    </w:p>
    <w:p>
      <w:pPr>
        <w:pStyle w:val="Body"/>
        <w:rPr>
          <w:rFonts w:ascii="Calibri" w:hAnsi="Calibri" w:cs="Calibri" w:asciiTheme="minorHAnsi" w:cstheme="minorHAnsi" w:hAnsiTheme="minorHAnsi"/>
          <w:color w:val="auto"/>
        </w:rPr>
      </w:pPr>
      <w:r>
        <w:rPr>
          <w:rFonts w:cs="Calibri" w:cstheme="minorHAnsi"/>
          <w:color w:val="auto"/>
        </w:rPr>
        <w:t>You have 15”.</w:t>
      </w:r>
    </w:p>
    <w:p>
      <w:pPr>
        <w:pStyle w:val="Normal"/>
        <w:spacing w:lineRule="auto" w:line="276"/>
        <w:rPr>
          <w:rFonts w:eastAsia="Times New Roman" w:cs="Calibri" w:cstheme="minorHAnsi"/>
          <w:b/>
          <w:b/>
          <w:color w:val="000000"/>
        </w:rPr>
      </w:pPr>
      <w:r>
        <w:rPr>
          <w:rFonts w:eastAsia="Times New Roman" w:cs="Calibri" w:cstheme="minorHAnsi"/>
          <w:b/>
          <w:color w:val="000000"/>
        </w:rPr>
        <w:tab/>
        <w:tab/>
        <w:tab/>
        <w:tab/>
      </w:r>
    </w:p>
    <w:p>
      <w:pPr>
        <w:pStyle w:val="Normal"/>
        <w:spacing w:before="0" w:after="120"/>
        <w:rPr>
          <w:b/>
          <w:b/>
        </w:rPr>
      </w:pPr>
      <w:r>
        <w:rPr>
          <w:b/>
        </w:rPr>
        <w:t>Wrap-up and Closing</w:t>
      </w:r>
    </w:p>
    <w:p>
      <w:pPr>
        <w:pStyle w:val="Normal"/>
        <w:spacing w:before="0" w:after="120"/>
        <w:rPr>
          <w:b/>
          <w:b/>
        </w:rPr>
      </w:pPr>
      <w:r>
        <w:rPr>
          <w:b/>
        </w:rPr>
      </w:r>
    </w:p>
    <w:p>
      <w:pPr>
        <w:pStyle w:val="Normal"/>
        <w:rPr>
          <w:b/>
          <w:b/>
        </w:rPr>
      </w:pPr>
      <w:r>
        <w:rPr>
          <w:b/>
        </w:rPr>
      </w:r>
    </w:p>
    <w:p>
      <w:pPr>
        <w:pStyle w:val="Normal"/>
        <w:rPr>
          <w:b/>
          <w:b/>
        </w:rPr>
      </w:pPr>
      <w:r>
        <w:rPr>
          <w:b/>
        </w:rPr>
        <w:t>Further resources</w:t>
      </w:r>
    </w:p>
    <w:p>
      <w:pPr>
        <w:pStyle w:val="Body"/>
        <w:spacing w:before="0" w:after="120"/>
        <w:rPr>
          <w:lang w:val="en-GB"/>
        </w:rPr>
      </w:pPr>
      <w:r>
        <w:rPr>
          <w:lang w:val="en-GB"/>
        </w:rPr>
        <w:t xml:space="preserve">Our website, </w:t>
      </w:r>
      <w:hyperlink r:id="rId4">
        <w:r>
          <w:rPr>
            <w:rStyle w:val="InternetLink"/>
            <w:lang w:val="en-GB"/>
          </w:rPr>
          <w:t>http://tragedyandcongregations.org.uk</w:t>
        </w:r>
      </w:hyperlink>
      <w:r>
        <w:rPr>
          <w:lang w:val="en-GB"/>
        </w:rPr>
        <w:t>, has additional resources and links.</w:t>
      </w:r>
    </w:p>
    <w:p>
      <w:pPr>
        <w:pStyle w:val="Body"/>
        <w:spacing w:before="0" w:after="120"/>
        <w:rPr/>
      </w:pPr>
      <w:r>
        <w:rPr>
          <w:lang w:val="en-GB"/>
        </w:rPr>
        <w:t xml:space="preserve">Justine Allain-Chapman (2012) </w:t>
      </w:r>
      <w:r>
        <w:rPr>
          <w:rFonts w:cs="Calibri" w:cstheme="minorHAnsi"/>
          <w:i/>
        </w:rPr>
        <w:t>Resilient Pastors: The Role of Adversity in Healing and Growth</w:t>
      </w:r>
      <w:r>
        <w:rPr>
          <w:rFonts w:cs="Calibri" w:cstheme="minorHAnsi"/>
        </w:rPr>
        <w:t xml:space="preserve"> (London: SPCK).  </w:t>
      </w:r>
    </w:p>
    <w:p>
      <w:pPr>
        <w:pStyle w:val="Normal"/>
        <w:spacing w:before="0" w:after="120"/>
        <w:rPr/>
      </w:pPr>
      <w:r>
        <w:rPr/>
        <w:t xml:space="preserve">Susan Beaumont (2019) </w:t>
      </w:r>
      <w:r>
        <w:rPr>
          <w:i/>
          <w:iCs/>
        </w:rPr>
        <w:t xml:space="preserve">How to Lead When You Don’t Know Where You’re Going: Leading in a Liminal </w:t>
      </w:r>
      <w:r>
        <w:rPr/>
        <w:t>Season (NY, London: Rowman &amp; Littlefield).</w:t>
      </w:r>
      <w:bookmarkStart w:id="0" w:name="_Hlk69485423"/>
      <w:bookmarkEnd w:id="0"/>
    </w:p>
    <w:p>
      <w:pPr>
        <w:pStyle w:val="Normal"/>
        <w:spacing w:before="0" w:after="120"/>
        <w:rPr/>
      </w:pPr>
      <w:r>
        <w:rPr/>
        <w:t xml:space="preserve">Walter Brueggemann (1984) </w:t>
      </w:r>
      <w:r>
        <w:rPr>
          <w:i/>
          <w:iCs/>
        </w:rPr>
        <w:t xml:space="preserve">The Message of the Psalms </w:t>
      </w:r>
      <w:r>
        <w:rPr/>
        <w:t xml:space="preserve">(Minneapolis: Auguburg Publishing House); (2014) </w:t>
      </w:r>
      <w:r>
        <w:rPr>
          <w:i/>
        </w:rPr>
        <w:t>Reality, Grief, Hope: Three Urgent Prophetic Tasks</w:t>
      </w:r>
      <w:r>
        <w:rPr/>
        <w:t xml:space="preserve"> (Grand Rapids MI: William B. Eerdmans Publishing Company); (2020) </w:t>
      </w:r>
      <w:r>
        <w:rPr>
          <w:i/>
        </w:rPr>
        <w:t>Virus as a Summons to Faith: Biblical Reflections for Times of Loss, Grief and Uncertainty</w:t>
      </w:r>
      <w:r>
        <w:rPr/>
        <w:t xml:space="preserve"> (Eugene OR: Cascade Books).</w:t>
      </w:r>
    </w:p>
    <w:p>
      <w:pPr>
        <w:pStyle w:val="Normal"/>
        <w:spacing w:before="0" w:after="120"/>
        <w:rPr/>
      </w:pPr>
      <w:r>
        <w:rPr/>
        <w:t xml:space="preserve">David M. Carr (2014) </w:t>
      </w:r>
      <w:r>
        <w:rPr>
          <w:i/>
        </w:rPr>
        <w:t xml:space="preserve">Holy Resilience: The Traumatic Origins of the Bible </w:t>
      </w:r>
      <w:r>
        <w:rPr/>
        <w:t>(New Haven CT and London: Yale University Press).</w:t>
      </w:r>
    </w:p>
    <w:p>
      <w:pPr>
        <w:pStyle w:val="Normal"/>
        <w:spacing w:before="0" w:after="120"/>
        <w:rPr/>
      </w:pPr>
      <w:r>
        <w:rPr/>
        <w:t xml:space="preserve">Carla A. Grosch-Miller (June 2021) </w:t>
      </w:r>
      <w:r>
        <w:rPr>
          <w:i/>
          <w:iCs/>
        </w:rPr>
        <w:t xml:space="preserve">Trauma and Pastoral Care </w:t>
      </w:r>
      <w:r>
        <w:rPr/>
        <w:t xml:space="preserve">(London: Canterbury Press); see also a collection of poems (2020) </w:t>
      </w:r>
      <w:r>
        <w:rPr>
          <w:i/>
          <w:iCs/>
        </w:rPr>
        <w:t xml:space="preserve">Lifelines: Wrestling the Word, Gathering Up Grace </w:t>
      </w:r>
      <w:r>
        <w:rPr/>
        <w:t>(London: Canterbury Press).</w:t>
      </w:r>
    </w:p>
    <w:p>
      <w:pPr>
        <w:pStyle w:val="Normal"/>
        <w:spacing w:before="0" w:after="120"/>
        <w:rPr/>
      </w:pPr>
      <w:r>
        <w:rPr/>
        <w:t xml:space="preserve">Laurie Kraus, David Holyan and Bruce Wismer (2017) </w:t>
      </w:r>
      <w:r>
        <w:rPr>
          <w:i/>
        </w:rPr>
        <w:t>Recovering from Un-natural Disasters: A Guide for Pastors and Congregations after Violence and Trauma</w:t>
      </w:r>
      <w:r>
        <w:rPr/>
        <w:t xml:space="preserve"> (Louisville, KY: Westminster John Knox Press). </w:t>
      </w:r>
    </w:p>
    <w:p>
      <w:pPr>
        <w:pStyle w:val="Normal"/>
        <w:spacing w:before="0" w:after="160"/>
        <w:rPr/>
      </w:pPr>
      <w:r>
        <w:rPr/>
        <w:t xml:space="preserve">Resmaa Menakem (2017) </w:t>
      </w:r>
      <w:r>
        <w:rPr>
          <w:i/>
          <w:iCs/>
        </w:rPr>
        <w:t xml:space="preserve">My Grandmother’s Hands: Racialized Trauma and the Pathway to Mending Our Hearts and Bodies </w:t>
      </w:r>
      <w:r>
        <w:rPr/>
        <w:t>(Las Vegas, NV: Central Recovery Press).</w:t>
      </w:r>
    </w:p>
    <w:p>
      <w:pPr>
        <w:pStyle w:val="Normal"/>
        <w:spacing w:before="0" w:after="120"/>
        <w:rPr/>
      </w:pPr>
      <w:r>
        <w:rPr/>
        <w:t xml:space="preserve">Emily Nagoski and Amelia Nagoski (2019) </w:t>
      </w:r>
      <w:r>
        <w:rPr>
          <w:i/>
          <w:iCs/>
        </w:rPr>
        <w:t xml:space="preserve">Burnout:  The Secret to Solving the Stress Cycle </w:t>
      </w:r>
      <w:r>
        <w:rPr/>
        <w:t>(London: Vermilion).</w:t>
      </w:r>
    </w:p>
    <w:p>
      <w:pPr>
        <w:pStyle w:val="Normal"/>
        <w:spacing w:before="0" w:after="120"/>
        <w:rPr/>
      </w:pPr>
      <w:r>
        <w:rPr/>
        <w:t xml:space="preserve">Sarah Peyton (2017) </w:t>
      </w:r>
      <w:r>
        <w:rPr>
          <w:i/>
        </w:rPr>
        <w:t xml:space="preserve">Your Resonant Self: Guided Meditations and Exercises to Engage Your Brain’s Capacity for Healing </w:t>
      </w:r>
      <w:r>
        <w:rPr/>
        <w:t>(NY and London: W.W. Norton &amp; Company).</w:t>
      </w:r>
    </w:p>
    <w:p>
      <w:pPr>
        <w:pStyle w:val="Normal"/>
        <w:spacing w:before="0" w:after="160"/>
        <w:rPr/>
      </w:pPr>
      <w:r>
        <w:rPr/>
        <w:t xml:space="preserve">Sheila Wise Rowe (2020) </w:t>
      </w:r>
      <w:r>
        <w:rPr>
          <w:i/>
          <w:iCs/>
        </w:rPr>
        <w:t xml:space="preserve">Healing Racial Trauma: The Road to Resilience </w:t>
      </w:r>
      <w:r>
        <w:rPr/>
        <w:t>(Downers Grove, IL: InterVarsity Press).</w:t>
      </w:r>
    </w:p>
    <w:p>
      <w:pPr>
        <w:pStyle w:val="Normal"/>
        <w:spacing w:before="0" w:after="160"/>
        <w:rPr/>
      </w:pPr>
      <w:r>
        <w:rPr/>
        <w:t xml:space="preserve">Jack Saul (2014) </w:t>
      </w:r>
      <w:r>
        <w:rPr>
          <w:i/>
          <w:iCs/>
        </w:rPr>
        <w:t xml:space="preserve">Collective Trauma, Collective Healing: Promoting Community Resilience in the Aftermath of a </w:t>
      </w:r>
      <w:r>
        <w:rPr/>
        <w:t>Disaster (New York and London: Routledge).</w:t>
      </w:r>
    </w:p>
    <w:p>
      <w:pPr>
        <w:pStyle w:val="Normal"/>
        <w:spacing w:before="0" w:after="120"/>
        <w:rPr/>
      </w:pPr>
      <w:r>
        <w:rPr/>
        <w:t xml:space="preserve">John Swinton (2007) </w:t>
      </w:r>
      <w:r>
        <w:rPr>
          <w:i/>
        </w:rPr>
        <w:t>Raging with Compassion: Pastoral Responses to the Problem of Evil</w:t>
      </w:r>
      <w:r>
        <w:rPr/>
        <w:t xml:space="preserve"> (Grand Rapids, MI and Cambridge UK: William B. Eerdmans Publishing Company).</w:t>
      </w:r>
    </w:p>
    <w:p>
      <w:pPr>
        <w:pStyle w:val="Normal"/>
        <w:spacing w:before="0" w:after="120"/>
        <w:rPr/>
      </w:pPr>
      <w:r>
        <w:rPr/>
        <w:t xml:space="preserve">Bessel van der Kolk (2014) </w:t>
      </w:r>
      <w:r>
        <w:rPr>
          <w:i/>
        </w:rPr>
        <w:t>The Body Keeps the Score: Mind, Brain and Body in the Transformation of Trauma</w:t>
      </w:r>
      <w:r>
        <w:rPr/>
        <w:t xml:space="preserve"> (London: Random House).</w:t>
      </w:r>
    </w:p>
    <w:p>
      <w:pPr>
        <w:pStyle w:val="Normal"/>
        <w:spacing w:before="0" w:after="120"/>
        <w:rPr/>
      </w:pPr>
      <w:r>
        <w:rPr/>
        <w:t xml:space="preserve">Megan Warner, Christopher Southgate, Carla A. Grosch-Miller and Hilary Ison (editors) (2019) </w:t>
      </w:r>
      <w:r>
        <w:rPr>
          <w:i/>
        </w:rPr>
        <w:t>Tragedies and Christian Congregations: The Practical Theology of Trauma</w:t>
      </w:r>
      <w:r>
        <w:rPr/>
        <w:t xml:space="preserve"> (London and New York: Routledge). </w:t>
      </w:r>
      <w:r>
        <w:rPr>
          <w:b/>
          <w:i/>
        </w:rPr>
        <w:t>Note:</w:t>
      </w:r>
      <w:r>
        <w:rPr>
          <w:i/>
        </w:rPr>
        <w:t xml:space="preserve"> </w:t>
      </w:r>
      <w:r>
        <w:rPr/>
        <w:t>The paperback edition of this book comes out in June 2021.</w:t>
      </w:r>
    </w:p>
    <w:p>
      <w:pPr>
        <w:pStyle w:val="Normal"/>
        <w:rPr>
          <w:rFonts w:cs="Calibri" w:cstheme="minorHAnsi"/>
        </w:rPr>
      </w:pPr>
      <w:r>
        <w:rPr>
          <w:rFonts w:cs="Calibri" w:cstheme="minorHAnsi"/>
        </w:rPr>
        <w:t>The On Being Project (podcasts):</w:t>
      </w:r>
      <w:r>
        <w:rPr>
          <w:rFonts w:cs="Calibri" w:cstheme="minorHAnsi"/>
          <w:b/>
          <w:bCs/>
        </w:rPr>
        <w:t xml:space="preserve"> </w:t>
      </w:r>
      <w:hyperlink r:id="rId5">
        <w:r>
          <w:rPr>
            <w:rStyle w:val="InternetLink"/>
            <w:rFonts w:cs="Calibri" w:cstheme="minorHAnsi"/>
          </w:rPr>
          <w:t>https://onbeing.org/programs/serene-jones-grace-in-a-fractured-world/</w:t>
        </w:r>
      </w:hyperlink>
      <w:r>
        <w:rPr>
          <w:rFonts w:cs="Calibri" w:cstheme="minorHAnsi"/>
        </w:rPr>
        <w:t xml:space="preserve"> (With Serene Jones on Trauma and Theology); </w:t>
      </w:r>
      <w:hyperlink r:id="rId6">
        <w:r>
          <w:rPr>
            <w:rStyle w:val="InternetLink"/>
          </w:rPr>
          <w:t>Christine Runyan — What’s Happening in Our Nervous Systems? | The On Being Project - The On Being Project</w:t>
        </w:r>
      </w:hyperlink>
    </w:p>
    <w:p>
      <w:pPr>
        <w:pStyle w:val="Normal"/>
        <w:rPr>
          <w:rFonts w:cs="Calibri" w:cstheme="minorHAnsi"/>
        </w:rPr>
      </w:pPr>
      <w:bookmarkStart w:id="1" w:name="_Hlk69133614"/>
      <w:r>
        <w:rPr>
          <w:rFonts w:cs="Calibri" w:cstheme="minorHAnsi"/>
        </w:rPr>
        <w:t>(with Christine Runyan on Trauma)</w:t>
      </w:r>
      <w:bookmarkEnd w:id="1"/>
      <w:r>
        <w:rPr>
          <w:rFonts w:cs="Calibri" w:cstheme="minorHAnsi"/>
        </w:rPr>
        <w:t xml:space="preserve">; </w:t>
      </w:r>
      <w:hyperlink r:id="rId7">
        <w:r>
          <w:rPr>
            <w:rStyle w:val="InternetLink"/>
          </w:rPr>
          <w:t>Resmaa Menakem — 'Notice the Rage; Notice the Silence' | The On Being Project - The On Being Project</w:t>
        </w:r>
      </w:hyperlink>
      <w:r>
        <w:rPr/>
        <w:t xml:space="preserve"> (with Resmaa Menakem on racialised trauma); </w:t>
      </w:r>
      <w:hyperlink r:id="rId8">
        <w:r>
          <w:rPr>
            <w:rStyle w:val="InternetLink"/>
          </w:rPr>
          <w:t>Race and Healing: A Body Practice | The On Being Project - The On Being Project</w:t>
        </w:r>
      </w:hyperlink>
      <w:r>
        <w:rPr/>
        <w:t xml:space="preserve"> (a short body practice with Resmaa Menakem on Race and Healing).</w:t>
      </w:r>
    </w:p>
    <w:sectPr>
      <w:footerReference w:type="default" r:id="rId9"/>
      <w:type w:val="nextPage"/>
      <w:pgSz w:w="11906" w:h="16838"/>
      <w:pgMar w:left="1440" w:right="1440" w:header="0" w:top="1440"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Segoe UI">
    <w:charset w:val="01"/>
    <w:family w:val="roman"/>
    <w:pitch w:val="variable"/>
  </w:font>
  <w:font w:name="Liberation Sans">
    <w:altName w:val="Arial"/>
    <w:charset w:val="01"/>
    <w:family w:val="roman"/>
    <w:pitch w:val="variable"/>
  </w:font>
  <w:font w:name="Symbol">
    <w:charset w:val="02"/>
    <w:family w:val="auto"/>
    <w:pitch w:val="variable"/>
  </w:font>
  <w:font w:name="Courier New">
    <w:charset w:val="01"/>
    <w:family w:val="auto"/>
    <w:pitch w:val="variable"/>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708301607"/>
    </w:sdtPr>
    <w:sdtContent>
      <w:p>
        <w:pPr>
          <w:pStyle w:val="Footer"/>
          <w:jc w:val="center"/>
          <w:rPr/>
        </w:pPr>
        <w:r>
          <w:rPr/>
          <w:fldChar w:fldCharType="begin"/>
        </w:r>
        <w:r>
          <w:rPr/>
          <w:instrText> PAGE </w:instrText>
        </w:r>
        <w:r>
          <w:rPr/>
          <w:fldChar w:fldCharType="separate"/>
        </w:r>
        <w:r>
          <w:rPr/>
          <w:t>5</w:t>
        </w:r>
        <w:r>
          <w:rPr/>
          <w:fldChar w:fldCharType="end"/>
        </w:r>
      </w:p>
    </w:sdtContent>
  </w:sdt>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lvl w:ilvl="0">
      <w:start w:val="1"/>
      <w:numFmt w:val="bullet"/>
      <w:lvlText w:val=""/>
      <w:lvlJc w:val="left"/>
      <w:pPr>
        <w:tabs>
          <w:tab w:val="num" w:pos="0"/>
        </w:tabs>
        <w:ind w:left="770" w:hanging="360"/>
      </w:pPr>
      <w:rPr>
        <w:rFonts w:ascii="Symbol" w:hAnsi="Symbol" w:cs="Symbol" w:hint="default"/>
      </w:rPr>
    </w:lvl>
    <w:lvl w:ilvl="1">
      <w:start w:val="1"/>
      <w:numFmt w:val="bullet"/>
      <w:lvlText w:val="o"/>
      <w:lvlJc w:val="left"/>
      <w:pPr>
        <w:tabs>
          <w:tab w:val="num" w:pos="0"/>
        </w:tabs>
        <w:ind w:left="1490" w:hanging="360"/>
      </w:pPr>
      <w:rPr>
        <w:rFonts w:ascii="Courier New" w:hAnsi="Courier New" w:cs="Courier New" w:hint="default"/>
      </w:rPr>
    </w:lvl>
    <w:lvl w:ilvl="2">
      <w:start w:val="1"/>
      <w:numFmt w:val="bullet"/>
      <w:lvlText w:val=""/>
      <w:lvlJc w:val="left"/>
      <w:pPr>
        <w:tabs>
          <w:tab w:val="num" w:pos="0"/>
        </w:tabs>
        <w:ind w:left="2210" w:hanging="360"/>
      </w:pPr>
      <w:rPr>
        <w:rFonts w:ascii="Wingdings" w:hAnsi="Wingdings" w:cs="Wingdings" w:hint="default"/>
      </w:rPr>
    </w:lvl>
    <w:lvl w:ilvl="3">
      <w:start w:val="1"/>
      <w:numFmt w:val="bullet"/>
      <w:lvlText w:val=""/>
      <w:lvlJc w:val="left"/>
      <w:pPr>
        <w:tabs>
          <w:tab w:val="num" w:pos="0"/>
        </w:tabs>
        <w:ind w:left="2930" w:hanging="360"/>
      </w:pPr>
      <w:rPr>
        <w:rFonts w:ascii="Symbol" w:hAnsi="Symbol" w:cs="Symbol" w:hint="default"/>
      </w:rPr>
    </w:lvl>
    <w:lvl w:ilvl="4">
      <w:start w:val="1"/>
      <w:numFmt w:val="bullet"/>
      <w:lvlText w:val="o"/>
      <w:lvlJc w:val="left"/>
      <w:pPr>
        <w:tabs>
          <w:tab w:val="num" w:pos="0"/>
        </w:tabs>
        <w:ind w:left="3650" w:hanging="360"/>
      </w:pPr>
      <w:rPr>
        <w:rFonts w:ascii="Courier New" w:hAnsi="Courier New" w:cs="Courier New" w:hint="default"/>
      </w:rPr>
    </w:lvl>
    <w:lvl w:ilvl="5">
      <w:start w:val="1"/>
      <w:numFmt w:val="bullet"/>
      <w:lvlText w:val=""/>
      <w:lvlJc w:val="left"/>
      <w:pPr>
        <w:tabs>
          <w:tab w:val="num" w:pos="0"/>
        </w:tabs>
        <w:ind w:left="4370" w:hanging="360"/>
      </w:pPr>
      <w:rPr>
        <w:rFonts w:ascii="Wingdings" w:hAnsi="Wingdings" w:cs="Wingdings" w:hint="default"/>
      </w:rPr>
    </w:lvl>
    <w:lvl w:ilvl="6">
      <w:start w:val="1"/>
      <w:numFmt w:val="bullet"/>
      <w:lvlText w:val=""/>
      <w:lvlJc w:val="left"/>
      <w:pPr>
        <w:tabs>
          <w:tab w:val="num" w:pos="0"/>
        </w:tabs>
        <w:ind w:left="5090" w:hanging="360"/>
      </w:pPr>
      <w:rPr>
        <w:rFonts w:ascii="Symbol" w:hAnsi="Symbol" w:cs="Symbol" w:hint="default"/>
      </w:rPr>
    </w:lvl>
    <w:lvl w:ilvl="7">
      <w:start w:val="1"/>
      <w:numFmt w:val="bullet"/>
      <w:lvlText w:val="o"/>
      <w:lvlJc w:val="left"/>
      <w:pPr>
        <w:tabs>
          <w:tab w:val="num" w:pos="0"/>
        </w:tabs>
        <w:ind w:left="5810" w:hanging="360"/>
      </w:pPr>
      <w:rPr>
        <w:rFonts w:ascii="Courier New" w:hAnsi="Courier New" w:cs="Courier New" w:hint="default"/>
      </w:rPr>
    </w:lvl>
    <w:lvl w:ilvl="8">
      <w:start w:val="1"/>
      <w:numFmt w:val="bullet"/>
      <w:lvlText w:val=""/>
      <w:lvlJc w:val="left"/>
      <w:pPr>
        <w:tabs>
          <w:tab w:val="num" w:pos="0"/>
        </w:tabs>
        <w:ind w:left="653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8">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9">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1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4"/>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c1e74"/>
    <w:pPr>
      <w:widowControl/>
      <w:suppressAutoHyphens w:val="true"/>
      <w:bidi w:val="0"/>
      <w:spacing w:before="0" w:after="0"/>
      <w:jc w:val="left"/>
    </w:pPr>
    <w:rPr>
      <w:rFonts w:ascii="Calibri" w:hAnsi="Calibri" w:eastAsia="Calibri" w:cs="" w:asciiTheme="minorHAnsi" w:cstheme="minorBidi" w:eastAsiaTheme="minorHAnsi" w:hAnsiTheme="minorHAnsi"/>
      <w:color w:val="auto"/>
      <w:kern w:val="0"/>
      <w:sz w:val="24"/>
      <w:szCs w:val="24"/>
      <w:lang w:val="en-GB"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unhideWhenUsed/>
    <w:rsid w:val="00dc1e74"/>
    <w:rPr>
      <w:color w:val="0563C1" w:themeColor="hyperlink"/>
      <w:u w:val="single"/>
    </w:rPr>
  </w:style>
  <w:style w:type="character" w:styleId="HeaderChar" w:customStyle="1">
    <w:name w:val="Header Char"/>
    <w:basedOn w:val="DefaultParagraphFont"/>
    <w:link w:val="Header"/>
    <w:uiPriority w:val="99"/>
    <w:qFormat/>
    <w:rsid w:val="0084266f"/>
    <w:rPr/>
  </w:style>
  <w:style w:type="character" w:styleId="FooterChar" w:customStyle="1">
    <w:name w:val="Footer Char"/>
    <w:basedOn w:val="DefaultParagraphFont"/>
    <w:link w:val="Footer"/>
    <w:uiPriority w:val="99"/>
    <w:qFormat/>
    <w:rsid w:val="0084266f"/>
    <w:rPr/>
  </w:style>
  <w:style w:type="character" w:styleId="BalloonTextChar" w:customStyle="1">
    <w:name w:val="Balloon Text Char"/>
    <w:basedOn w:val="DefaultParagraphFont"/>
    <w:link w:val="BalloonText"/>
    <w:uiPriority w:val="99"/>
    <w:semiHidden/>
    <w:qFormat/>
    <w:rsid w:val="00d6360c"/>
    <w:rPr>
      <w:rFonts w:ascii="Segoe UI" w:hAnsi="Segoe UI" w:cs="Segoe UI"/>
      <w:sz w:val="18"/>
      <w:szCs w:val="18"/>
    </w:rPr>
  </w:style>
  <w:style w:type="character" w:styleId="UnresolvedMention">
    <w:name w:val="Unresolved Mention"/>
    <w:basedOn w:val="DefaultParagraphFont"/>
    <w:uiPriority w:val="99"/>
    <w:semiHidden/>
    <w:unhideWhenUsed/>
    <w:qFormat/>
    <w:rsid w:val="00363ae7"/>
    <w:rPr>
      <w:color w:val="605E5C"/>
      <w:shd w:fill="E1DFDD" w:val="clear"/>
    </w:rPr>
  </w:style>
  <w:style w:type="character" w:styleId="VisitedInternetLink">
    <w:name w:val="FollowedHyperlink"/>
    <w:basedOn w:val="DefaultParagraphFont"/>
    <w:uiPriority w:val="99"/>
    <w:semiHidden/>
    <w:unhideWhenUsed/>
    <w:rsid w:val="00fa75e8"/>
    <w:rPr>
      <w:color w:val="954F72" w:themeColor="followedHyperlink"/>
      <w:u w:val="single"/>
    </w:rPr>
  </w:style>
  <w:style w:type="paragraph" w:styleId="Heading" w:customStyle="1">
    <w:name w:val="Heading"/>
    <w:basedOn w:val="Normal"/>
    <w:next w:val="TextBody"/>
    <w:qFormat/>
    <w:pPr>
      <w:keepNext w:val="true"/>
      <w:spacing w:before="240" w:after="120"/>
    </w:pPr>
    <w:rPr>
      <w:rFonts w:ascii="Liberation Sans" w:hAnsi="Liberation Sans" w:eastAsia="PingFang SC"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Lucida Sans"/>
    </w:rPr>
  </w:style>
  <w:style w:type="paragraph" w:styleId="Caption1">
    <w:name w:val="caption"/>
    <w:basedOn w:val="Normal"/>
    <w:qFormat/>
    <w:pPr>
      <w:suppressLineNumbers/>
      <w:spacing w:before="120" w:after="120"/>
    </w:pPr>
    <w:rPr>
      <w:rFonts w:cs="Lucida Sans"/>
      <w:i/>
      <w:iCs/>
    </w:rPr>
  </w:style>
  <w:style w:type="paragraph" w:styleId="ListParagraph">
    <w:name w:val="List Paragraph"/>
    <w:basedOn w:val="Normal"/>
    <w:uiPriority w:val="34"/>
    <w:qFormat/>
    <w:rsid w:val="00dc1e74"/>
    <w:pPr>
      <w:spacing w:before="0" w:after="0"/>
      <w:ind w:left="720" w:hanging="0"/>
      <w:contextualSpacing/>
    </w:pPr>
    <w:rPr/>
  </w:style>
  <w:style w:type="paragraph" w:styleId="Body" w:customStyle="1">
    <w:name w:val="Body"/>
    <w:qFormat/>
    <w:rsid w:val="00c90c4e"/>
    <w:pPr>
      <w:widowControl/>
      <w:suppressAutoHyphens w:val="true"/>
      <w:bidi w:val="0"/>
      <w:spacing w:before="0" w:after="0"/>
      <w:jc w:val="left"/>
    </w:pPr>
    <w:rPr>
      <w:rFonts w:ascii="Calibri" w:hAnsi="Calibri" w:eastAsia="Calibri" w:cs="Calibri"/>
      <w:color w:val="000000"/>
      <w:kern w:val="0"/>
      <w:sz w:val="24"/>
      <w:szCs w:val="24"/>
      <w:u w:val="none" w:color="000000"/>
      <w:lang w:val="en-US" w:eastAsia="en-GB" w:bidi="ar-SA"/>
    </w:rPr>
  </w:style>
  <w:style w:type="paragraph" w:styleId="HeaderandFooter" w:customStyle="1">
    <w:name w:val="Header and Footer"/>
    <w:basedOn w:val="Normal"/>
    <w:qFormat/>
    <w:pPr/>
    <w:rPr/>
  </w:style>
  <w:style w:type="paragraph" w:styleId="Header">
    <w:name w:val="Header"/>
    <w:basedOn w:val="Normal"/>
    <w:link w:val="HeaderChar"/>
    <w:uiPriority w:val="99"/>
    <w:unhideWhenUsed/>
    <w:rsid w:val="0084266f"/>
    <w:pPr>
      <w:tabs>
        <w:tab w:val="clear" w:pos="720"/>
        <w:tab w:val="center" w:pos="4513" w:leader="none"/>
        <w:tab w:val="right" w:pos="9026" w:leader="none"/>
      </w:tabs>
    </w:pPr>
    <w:rPr/>
  </w:style>
  <w:style w:type="paragraph" w:styleId="Footer">
    <w:name w:val="Footer"/>
    <w:basedOn w:val="Normal"/>
    <w:link w:val="FooterChar"/>
    <w:uiPriority w:val="99"/>
    <w:unhideWhenUsed/>
    <w:rsid w:val="0084266f"/>
    <w:pPr>
      <w:tabs>
        <w:tab w:val="clear" w:pos="720"/>
        <w:tab w:val="center" w:pos="4513" w:leader="none"/>
        <w:tab w:val="right" w:pos="9026" w:leader="none"/>
      </w:tabs>
    </w:pPr>
    <w:rPr/>
  </w:style>
  <w:style w:type="paragraph" w:styleId="BalloonText">
    <w:name w:val="Balloon Text"/>
    <w:basedOn w:val="Normal"/>
    <w:link w:val="BalloonTextChar"/>
    <w:uiPriority w:val="99"/>
    <w:semiHidden/>
    <w:unhideWhenUsed/>
    <w:qFormat/>
    <w:rsid w:val="00d6360c"/>
    <w:pPr/>
    <w:rPr>
      <w:rFonts w:ascii="Segoe UI" w:hAnsi="Segoe UI" w:cs="Segoe UI"/>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ictg.org/phases-of-disaster-response.html" TargetMode="External"/><Relationship Id="rId4" Type="http://schemas.openxmlformats.org/officeDocument/2006/relationships/hyperlink" Target="http://tragedyandcongregations.org.uk/" TargetMode="External"/><Relationship Id="rId5" Type="http://schemas.openxmlformats.org/officeDocument/2006/relationships/hyperlink" Target="https://onbeing.org/programs/serene-jones-grace-in-a-fractured-world/" TargetMode="External"/><Relationship Id="rId6" Type="http://schemas.openxmlformats.org/officeDocument/2006/relationships/hyperlink" Target="https://onbeing.org/programs/christine-runyan-whats-happening-in-our-nervous-systems/" TargetMode="External"/><Relationship Id="rId7" Type="http://schemas.openxmlformats.org/officeDocument/2006/relationships/hyperlink" Target="https://onbeing.org/programs/resmaa-menakem-notice-the-rage-notice-the-silence/" TargetMode="External"/><Relationship Id="rId8" Type="http://schemas.openxmlformats.org/officeDocument/2006/relationships/hyperlink" Target="https://onbeing.org/blog/race-and-healing-body-practice/" TargetMode="External"/><Relationship Id="rId9" Type="http://schemas.openxmlformats.org/officeDocument/2006/relationships/footer" Target="footer1.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LibreOffice/6.4.7.2$MacOSX_X86_64 LibreOffice_project/639b8ac485750d5696d7590a72ef1b496725cfb5</Application>
  <Pages>5</Pages>
  <Words>1400</Words>
  <Characters>7860</Characters>
  <CharactersWithSpaces>9228</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2021-06-01T14:50:00Z</dcterms:created>
  <dc:creator>Grosch-Miller, Carla</dc:creator>
  <dc:description/>
  <dc:language>en-GB</dc:language>
  <cp:lastModifiedBy>Hilary Ison</cp:lastModifiedBy>
  <cp:lastPrinted>2020-12-09T10:50:00Z</cp:lastPrinted>
  <dcterms:modified xsi:type="dcterms:W3CDTF">2022-02-22T11:32:24Z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